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1" w:rightFromText="181" w:vertAnchor="page" w:horzAnchor="page" w:tblpX="1135" w:tblpY="2156"/>
        <w:tblW w:w="9866" w:type="dxa"/>
        <w:tblInd w:w="-28" w:type="dxa"/>
        <w:tblBorders>
          <w:top w:val="none" w:sz="0" w:space="0" w:color="auto"/>
          <w:left w:val="none" w:sz="0" w:space="0" w:color="auto"/>
          <w:bottom w:val="single" w:sz="8" w:space="0" w:color="00755C"/>
          <w:right w:val="none" w:sz="0" w:space="0" w:color="auto"/>
          <w:insideH w:val="none" w:sz="0" w:space="0" w:color="auto"/>
          <w:insideV w:val="none" w:sz="0" w:space="0" w:color="auto"/>
        </w:tblBorders>
        <w:tblLayout w:type="fixed"/>
        <w:tblCellMar>
          <w:left w:w="0" w:type="dxa"/>
        </w:tblCellMar>
        <w:tblLook w:val="01E0" w:firstRow="1" w:lastRow="1" w:firstColumn="1" w:lastColumn="1" w:noHBand="0" w:noVBand="0"/>
      </w:tblPr>
      <w:tblGrid>
        <w:gridCol w:w="282"/>
        <w:gridCol w:w="731"/>
        <w:gridCol w:w="4497"/>
        <w:gridCol w:w="886"/>
        <w:gridCol w:w="1081"/>
        <w:gridCol w:w="2389"/>
      </w:tblGrid>
      <w:tr w:rsidR="00F91C33" w:rsidTr="00F91C33">
        <w:trPr>
          <w:trHeight w:val="510"/>
        </w:trPr>
        <w:tc>
          <w:tcPr>
            <w:tcW w:w="283" w:type="dxa"/>
            <w:vMerge w:val="restart"/>
            <w:tcBorders>
              <w:right w:val="nil"/>
            </w:tcBorders>
          </w:tcPr>
          <w:p w:rsidR="00F91C33" w:rsidRDefault="00F91C33" w:rsidP="00F91C33">
            <w:pPr>
              <w:pStyle w:val="MemoDetailsTable"/>
              <w:jc w:val="right"/>
            </w:pPr>
          </w:p>
        </w:tc>
        <w:tc>
          <w:tcPr>
            <w:tcW w:w="737" w:type="dxa"/>
            <w:tcBorders>
              <w:bottom w:val="nil"/>
              <w:right w:val="nil"/>
            </w:tcBorders>
            <w:tcMar>
              <w:left w:w="28" w:type="dxa"/>
              <w:right w:w="0" w:type="dxa"/>
            </w:tcMar>
            <w:vAlign w:val="center"/>
          </w:tcPr>
          <w:p w:rsidR="00F91C33" w:rsidRDefault="00F91C33" w:rsidP="00F91C33">
            <w:pPr>
              <w:pStyle w:val="MemoDetailsTable"/>
              <w:jc w:val="right"/>
            </w:pPr>
            <w:r>
              <w:t>To</w:t>
            </w:r>
          </w:p>
        </w:tc>
        <w:tc>
          <w:tcPr>
            <w:tcW w:w="5430" w:type="dxa"/>
            <w:gridSpan w:val="2"/>
            <w:tcBorders>
              <w:left w:val="nil"/>
            </w:tcBorders>
            <w:tcMar>
              <w:left w:w="113" w:type="dxa"/>
            </w:tcMar>
            <w:vAlign w:val="center"/>
          </w:tcPr>
          <w:p w:rsidR="009B194B" w:rsidRPr="0061589D" w:rsidRDefault="009B194B" w:rsidP="00F91C33">
            <w:pPr>
              <w:pStyle w:val="TableStandardText"/>
              <w:rPr>
                <w:lang w:val="es-EC"/>
              </w:rPr>
            </w:pPr>
            <w:r w:rsidRPr="009B194B">
              <w:rPr>
                <w:lang w:val="es-EC"/>
              </w:rPr>
              <w:t xml:space="preserve">Kiran Vadlamani, Indicoal </w:t>
            </w:r>
            <w:r w:rsidRPr="0061589D">
              <w:rPr>
                <w:lang w:val="es-EC"/>
              </w:rPr>
              <w:t>Mining Australia Pty Ltd</w:t>
            </w:r>
          </w:p>
          <w:p w:rsidR="00F91C33" w:rsidRPr="009B194B" w:rsidRDefault="00682F1B" w:rsidP="00F91C33">
            <w:pPr>
              <w:pStyle w:val="TableStandardText"/>
              <w:rPr>
                <w:lang w:val="es-EC"/>
              </w:rPr>
            </w:pPr>
            <w:r w:rsidRPr="00682F1B">
              <w:rPr>
                <w:lang w:val="es-EC"/>
              </w:rPr>
              <w:t>Milind Pasad</w:t>
            </w:r>
            <w:r w:rsidRPr="009B194B">
              <w:rPr>
                <w:lang w:val="es-EC"/>
              </w:rPr>
              <w:t xml:space="preserve">, Indicoal </w:t>
            </w:r>
            <w:r w:rsidRPr="00682F1B">
              <w:t>Mining Australia Pty Ltd</w:t>
            </w:r>
            <w:r w:rsidRPr="00682F1B">
              <w:rPr>
                <w:lang w:val="es-EC"/>
              </w:rPr>
              <w:t xml:space="preserve">  </w:t>
            </w:r>
            <w:r w:rsidR="009E428B">
              <w:fldChar w:fldCharType="begin"/>
            </w:r>
            <w:r w:rsidR="00F91C33" w:rsidRPr="009B194B">
              <w:rPr>
                <w:lang w:val="es-EC"/>
              </w:rPr>
              <w:instrText xml:space="preserve"> DOCPROPERTY  Memo_to  \* MERGEFORMAT </w:instrText>
            </w:r>
            <w:r w:rsidR="009E428B">
              <w:fldChar w:fldCharType="end"/>
            </w:r>
          </w:p>
        </w:tc>
        <w:tc>
          <w:tcPr>
            <w:tcW w:w="1091" w:type="dxa"/>
            <w:tcMar>
              <w:right w:w="0" w:type="dxa"/>
            </w:tcMar>
            <w:vAlign w:val="center"/>
          </w:tcPr>
          <w:p w:rsidR="00F91C33" w:rsidRDefault="00F91C33" w:rsidP="00F91C33">
            <w:pPr>
              <w:pStyle w:val="MemoDetailsTable"/>
              <w:jc w:val="right"/>
            </w:pPr>
            <w:r>
              <w:t>Date</w:t>
            </w:r>
          </w:p>
        </w:tc>
        <w:tc>
          <w:tcPr>
            <w:tcW w:w="2409" w:type="dxa"/>
            <w:tcMar>
              <w:left w:w="113" w:type="dxa"/>
            </w:tcMar>
            <w:vAlign w:val="center"/>
          </w:tcPr>
          <w:p w:rsidR="00F91C33" w:rsidRDefault="009E428B" w:rsidP="00F91C33">
            <w:pPr>
              <w:pStyle w:val="TableStandardText"/>
            </w:pPr>
            <w:r>
              <w:fldChar w:fldCharType="begin"/>
            </w:r>
            <w:r w:rsidR="00F91C33">
              <w:instrText xml:space="preserve"> DOCPROPERTY  Memo_Date  \* MERGEFORMAT </w:instrText>
            </w:r>
            <w:r>
              <w:fldChar w:fldCharType="separate"/>
            </w:r>
            <w:r w:rsidR="00F33851">
              <w:t>22 November 2012</w:t>
            </w:r>
            <w:r>
              <w:fldChar w:fldCharType="end"/>
            </w:r>
          </w:p>
        </w:tc>
      </w:tr>
      <w:tr w:rsidR="00F91C33" w:rsidTr="00F91C33">
        <w:trPr>
          <w:trHeight w:val="510"/>
        </w:trPr>
        <w:tc>
          <w:tcPr>
            <w:tcW w:w="283" w:type="dxa"/>
            <w:vMerge/>
          </w:tcPr>
          <w:p w:rsidR="00F91C33" w:rsidRDefault="00F91C33" w:rsidP="00F91C33">
            <w:pPr>
              <w:pStyle w:val="MemoDetailsTable"/>
              <w:jc w:val="right"/>
            </w:pPr>
          </w:p>
        </w:tc>
        <w:tc>
          <w:tcPr>
            <w:tcW w:w="737" w:type="dxa"/>
            <w:tcBorders>
              <w:top w:val="nil"/>
            </w:tcBorders>
            <w:tcMar>
              <w:left w:w="28" w:type="dxa"/>
              <w:right w:w="0" w:type="dxa"/>
            </w:tcMar>
            <w:vAlign w:val="center"/>
          </w:tcPr>
          <w:p w:rsidR="00F91C33" w:rsidRDefault="00F91C33" w:rsidP="00F91C33">
            <w:pPr>
              <w:pStyle w:val="MemoDetailsTable"/>
              <w:jc w:val="right"/>
            </w:pPr>
            <w:r>
              <w:t>Cc</w:t>
            </w:r>
          </w:p>
        </w:tc>
        <w:tc>
          <w:tcPr>
            <w:tcW w:w="8930" w:type="dxa"/>
            <w:gridSpan w:val="4"/>
            <w:tcMar>
              <w:left w:w="113" w:type="dxa"/>
            </w:tcMar>
            <w:vAlign w:val="center"/>
          </w:tcPr>
          <w:p w:rsidR="00F91C33" w:rsidRDefault="00682F1B" w:rsidP="00F91C33">
            <w:pPr>
              <w:pStyle w:val="TableStandardText"/>
            </w:pPr>
            <w:r>
              <w:t>Neil Fraser, Golder Associates Pty Ltd</w:t>
            </w:r>
            <w:r w:rsidR="009E428B">
              <w:fldChar w:fldCharType="begin"/>
            </w:r>
            <w:r w:rsidR="00F91C33">
              <w:instrText xml:space="preserve"> DOCPROPERTY  CC_Memo  \* MERGEFORMAT </w:instrText>
            </w:r>
            <w:r w:rsidR="009E428B">
              <w:fldChar w:fldCharType="end"/>
            </w:r>
          </w:p>
        </w:tc>
      </w:tr>
      <w:tr w:rsidR="00F91C33" w:rsidTr="00F91C33">
        <w:trPr>
          <w:trHeight w:val="510"/>
        </w:trPr>
        <w:tc>
          <w:tcPr>
            <w:tcW w:w="283" w:type="dxa"/>
            <w:vMerge/>
          </w:tcPr>
          <w:p w:rsidR="00F91C33" w:rsidRDefault="00F91C33" w:rsidP="00F91C33">
            <w:pPr>
              <w:pStyle w:val="MemoDetailsTable"/>
              <w:jc w:val="right"/>
            </w:pPr>
          </w:p>
        </w:tc>
        <w:tc>
          <w:tcPr>
            <w:tcW w:w="737" w:type="dxa"/>
            <w:tcMar>
              <w:left w:w="28" w:type="dxa"/>
              <w:right w:w="0" w:type="dxa"/>
            </w:tcMar>
            <w:vAlign w:val="center"/>
          </w:tcPr>
          <w:p w:rsidR="00F91C33" w:rsidRDefault="00F91C33" w:rsidP="00F91C33">
            <w:pPr>
              <w:pStyle w:val="MemoDetailsTable"/>
              <w:jc w:val="right"/>
            </w:pPr>
            <w:r>
              <w:t>From</w:t>
            </w:r>
          </w:p>
        </w:tc>
        <w:tc>
          <w:tcPr>
            <w:tcW w:w="4536" w:type="dxa"/>
            <w:tcMar>
              <w:left w:w="113" w:type="dxa"/>
            </w:tcMar>
            <w:vAlign w:val="center"/>
          </w:tcPr>
          <w:p w:rsidR="00F91C33" w:rsidRDefault="00682F1B" w:rsidP="00F91C33">
            <w:pPr>
              <w:pStyle w:val="TableStandardText"/>
            </w:pPr>
            <w:r>
              <w:t>Rebecca Powlett, Golder Associates Pty Ltd</w:t>
            </w:r>
            <w:r w:rsidR="009E428B">
              <w:fldChar w:fldCharType="begin"/>
            </w:r>
            <w:r w:rsidR="00F91C33">
              <w:instrText xml:space="preserve"> DOCPROPERTY  Memo_From  \* MERGEFORMAT </w:instrText>
            </w:r>
            <w:r w:rsidR="009E428B">
              <w:fldChar w:fldCharType="end"/>
            </w:r>
          </w:p>
        </w:tc>
        <w:tc>
          <w:tcPr>
            <w:tcW w:w="1985" w:type="dxa"/>
            <w:gridSpan w:val="2"/>
            <w:tcMar>
              <w:right w:w="0" w:type="dxa"/>
            </w:tcMar>
            <w:vAlign w:val="center"/>
          </w:tcPr>
          <w:p w:rsidR="00F91C33" w:rsidRDefault="00F33851" w:rsidP="00F91C33">
            <w:pPr>
              <w:pStyle w:val="MemoDetailsTable"/>
              <w:jc w:val="right"/>
            </w:pPr>
            <w:r>
              <w:fldChar w:fldCharType="begin"/>
            </w:r>
            <w:r>
              <w:instrText xml:space="preserve"> DOCPROPERTY  TypeOfNumber  \* MERGEFORMAT </w:instrText>
            </w:r>
            <w:r>
              <w:fldChar w:fldCharType="separate"/>
            </w:r>
            <w:r>
              <w:t>Document</w:t>
            </w:r>
            <w:r>
              <w:fldChar w:fldCharType="end"/>
            </w:r>
            <w:r w:rsidR="00F91C33">
              <w:t xml:space="preserve"> n</w:t>
            </w:r>
            <w:r w:rsidR="00F91C33" w:rsidRPr="004B1CEE">
              <w:rPr>
                <w:caps w:val="0"/>
                <w:szCs w:val="22"/>
              </w:rPr>
              <w:t>o</w:t>
            </w:r>
            <w:r w:rsidR="00F91C33">
              <w:t>.</w:t>
            </w:r>
          </w:p>
        </w:tc>
        <w:tc>
          <w:tcPr>
            <w:tcW w:w="2409" w:type="dxa"/>
            <w:tcMar>
              <w:left w:w="113" w:type="dxa"/>
              <w:right w:w="28" w:type="dxa"/>
            </w:tcMar>
            <w:vAlign w:val="center"/>
          </w:tcPr>
          <w:p w:rsidR="00F91C33" w:rsidRDefault="009E428B" w:rsidP="00F91C33">
            <w:pPr>
              <w:pStyle w:val="TableStandardText"/>
            </w:pPr>
            <w:r>
              <w:fldChar w:fldCharType="begin"/>
            </w:r>
            <w:r w:rsidR="00F91C33">
              <w:instrText xml:space="preserve"> DOCPROPERTY  Memo_Project_no  \* MERGEFORMAT </w:instrText>
            </w:r>
            <w:r w:rsidR="00F33851">
              <w:fldChar w:fldCharType="separate"/>
            </w:r>
            <w:r w:rsidR="00F33851">
              <w:t>127613050-006-M-Rev0</w:t>
            </w:r>
            <w:r>
              <w:fldChar w:fldCharType="end"/>
            </w:r>
          </w:p>
        </w:tc>
      </w:tr>
      <w:tr w:rsidR="00F91C33" w:rsidTr="00F91C33">
        <w:trPr>
          <w:trHeight w:val="510"/>
        </w:trPr>
        <w:tc>
          <w:tcPr>
            <w:tcW w:w="283" w:type="dxa"/>
            <w:vMerge/>
          </w:tcPr>
          <w:p w:rsidR="00F91C33" w:rsidRDefault="00F91C33" w:rsidP="00F91C33">
            <w:pPr>
              <w:pStyle w:val="Reference"/>
            </w:pPr>
          </w:p>
        </w:tc>
        <w:tc>
          <w:tcPr>
            <w:tcW w:w="9667" w:type="dxa"/>
            <w:gridSpan w:val="5"/>
            <w:tcMar>
              <w:left w:w="0" w:type="dxa"/>
            </w:tcMar>
            <w:vAlign w:val="center"/>
          </w:tcPr>
          <w:p w:rsidR="00F91C33" w:rsidRDefault="00682F1B" w:rsidP="00682F1B">
            <w:pPr>
              <w:pStyle w:val="Reference"/>
            </w:pPr>
            <w:r>
              <w:t xml:space="preserve">EPBC Referal and Project </w:t>
            </w:r>
            <w:r w:rsidRPr="00682F1B">
              <w:t xml:space="preserve">Risks </w:t>
            </w:r>
          </w:p>
        </w:tc>
      </w:tr>
      <w:tr w:rsidR="00F91C33" w:rsidTr="00F91C33">
        <w:trPr>
          <w:trHeight w:hRule="exact" w:val="113"/>
        </w:trPr>
        <w:tc>
          <w:tcPr>
            <w:tcW w:w="283" w:type="dxa"/>
            <w:vMerge/>
          </w:tcPr>
          <w:p w:rsidR="00F91C33" w:rsidRPr="00E2087B" w:rsidRDefault="00F91C33" w:rsidP="00F91C33">
            <w:pPr>
              <w:spacing w:line="80" w:lineRule="atLeast"/>
              <w:rPr>
                <w:sz w:val="8"/>
                <w:szCs w:val="8"/>
              </w:rPr>
            </w:pPr>
          </w:p>
        </w:tc>
        <w:tc>
          <w:tcPr>
            <w:tcW w:w="9667" w:type="dxa"/>
            <w:gridSpan w:val="5"/>
            <w:tcBorders>
              <w:bottom w:val="single" w:sz="8" w:space="0" w:color="00755C"/>
            </w:tcBorders>
            <w:vAlign w:val="center"/>
          </w:tcPr>
          <w:p w:rsidR="00F91C33" w:rsidRPr="00E2087B" w:rsidRDefault="00F91C33" w:rsidP="00F91C33">
            <w:pPr>
              <w:spacing w:line="80" w:lineRule="atLeast"/>
              <w:rPr>
                <w:sz w:val="8"/>
                <w:szCs w:val="8"/>
              </w:rPr>
            </w:pPr>
          </w:p>
        </w:tc>
      </w:tr>
      <w:tr w:rsidR="00F91C33" w:rsidTr="00F91C33">
        <w:trPr>
          <w:trHeight w:hRule="exact" w:val="113"/>
        </w:trPr>
        <w:tc>
          <w:tcPr>
            <w:tcW w:w="283" w:type="dxa"/>
            <w:vMerge/>
            <w:tcBorders>
              <w:bottom w:val="nil"/>
            </w:tcBorders>
          </w:tcPr>
          <w:p w:rsidR="00F91C33" w:rsidRPr="00E2087B" w:rsidRDefault="00F91C33" w:rsidP="00F91C33">
            <w:pPr>
              <w:spacing w:line="80" w:lineRule="atLeast"/>
              <w:rPr>
                <w:sz w:val="8"/>
                <w:szCs w:val="8"/>
              </w:rPr>
            </w:pPr>
          </w:p>
        </w:tc>
        <w:tc>
          <w:tcPr>
            <w:tcW w:w="9667" w:type="dxa"/>
            <w:gridSpan w:val="5"/>
            <w:tcBorders>
              <w:top w:val="single" w:sz="8" w:space="0" w:color="00755C"/>
              <w:bottom w:val="nil"/>
            </w:tcBorders>
            <w:vAlign w:val="center"/>
          </w:tcPr>
          <w:p w:rsidR="00F91C33" w:rsidRPr="00E2087B" w:rsidRDefault="00F91C33" w:rsidP="00F91C33">
            <w:pPr>
              <w:spacing w:line="80" w:lineRule="atLeast"/>
              <w:rPr>
                <w:sz w:val="8"/>
                <w:szCs w:val="8"/>
              </w:rPr>
            </w:pPr>
          </w:p>
        </w:tc>
      </w:tr>
    </w:tbl>
    <w:p w:rsidR="002133E6" w:rsidRDefault="002B46C3" w:rsidP="00F33851">
      <w:pPr>
        <w:spacing w:after="240"/>
      </w:pPr>
      <w:bookmarkStart w:id="0" w:name="start"/>
      <w:bookmarkEnd w:id="0"/>
      <w:r>
        <w:t xml:space="preserve">This </w:t>
      </w:r>
      <w:r w:rsidR="00752E05">
        <w:t>M</w:t>
      </w:r>
      <w:r>
        <w:t>emo</w:t>
      </w:r>
      <w:r w:rsidR="00752E05">
        <w:t>randum</w:t>
      </w:r>
      <w:r>
        <w:t xml:space="preserve"> is </w:t>
      </w:r>
      <w:r w:rsidR="004B03EC">
        <w:t xml:space="preserve">provided to Indicoal Mining Australia Pty Ltd (Indicoal) </w:t>
      </w:r>
      <w:r>
        <w:t xml:space="preserve">to </w:t>
      </w:r>
      <w:r w:rsidR="00752E05">
        <w:t xml:space="preserve">outline perceived </w:t>
      </w:r>
      <w:r w:rsidR="002133E6">
        <w:t xml:space="preserve">risks </w:t>
      </w:r>
      <w:r w:rsidR="00752E05">
        <w:t xml:space="preserve">in the event that the </w:t>
      </w:r>
      <w:r w:rsidR="00752E05" w:rsidRPr="00DA3523">
        <w:t>Langloh Coal Project</w:t>
      </w:r>
      <w:r w:rsidR="00752E05">
        <w:t xml:space="preserve"> (the project) is assessed under the</w:t>
      </w:r>
      <w:r w:rsidR="004B03EC">
        <w:t xml:space="preserve"> Commonwealth </w:t>
      </w:r>
      <w:r w:rsidR="004B03EC" w:rsidRPr="0055007B">
        <w:rPr>
          <w:i/>
        </w:rPr>
        <w:t>Environmental Protection and Biodiversity Conservation Act 1999</w:t>
      </w:r>
      <w:r w:rsidR="004B03EC">
        <w:t xml:space="preserve"> (EPBC Act). </w:t>
      </w:r>
    </w:p>
    <w:p w:rsidR="006D272D" w:rsidRDefault="004B03EC" w:rsidP="00F33851">
      <w:pPr>
        <w:spacing w:after="240"/>
      </w:pPr>
      <w:r>
        <w:t>Golder</w:t>
      </w:r>
      <w:r w:rsidR="00752E05">
        <w:t xml:space="preserve"> Associates Pty Ltd’s (Golder)</w:t>
      </w:r>
      <w:r>
        <w:t xml:space="preserve"> proposal for mine environmental permitting for the Langloh Coal Project (Golder reference number: P17613396-001-L-Rev4, March 2012) </w:t>
      </w:r>
      <w:r w:rsidR="00752E05">
        <w:t xml:space="preserve">was developed on a </w:t>
      </w:r>
      <w:r w:rsidR="007B5587">
        <w:t>relatively</w:t>
      </w:r>
      <w:r w:rsidR="0055007B">
        <w:t xml:space="preserve"> low-impact Project</w:t>
      </w:r>
      <w:r w:rsidR="00752E05">
        <w:t xml:space="preserve">.  The </w:t>
      </w:r>
      <w:r w:rsidR="0055007B">
        <w:t>extent of previous disturbance and the likelihood of any impacts being mitigated ma</w:t>
      </w:r>
      <w:r w:rsidR="00752E05">
        <w:t>de</w:t>
      </w:r>
      <w:r w:rsidR="0055007B">
        <w:t xml:space="preserve"> it unlikely that matters of environmental significance as defined under the EPBC Act</w:t>
      </w:r>
      <w:r>
        <w:t xml:space="preserve"> would be </w:t>
      </w:r>
      <w:r w:rsidR="0055007B">
        <w:t>triggered</w:t>
      </w:r>
      <w:r w:rsidR="00752E05">
        <w:t xml:space="preserve"> and, as such, would not need to be referred to the Department of Sustainability, Environment, Water, Population and Communities (DSEWPaC) for assessment under the EPBC Act</w:t>
      </w:r>
      <w:r w:rsidR="0055007B">
        <w:t xml:space="preserve">. </w:t>
      </w:r>
    </w:p>
    <w:p w:rsidR="004B03EC" w:rsidRDefault="002133E6" w:rsidP="00F33851">
      <w:pPr>
        <w:spacing w:after="240"/>
      </w:pPr>
      <w:r>
        <w:t xml:space="preserve">This </w:t>
      </w:r>
      <w:r w:rsidR="00752E05">
        <w:t xml:space="preserve">Memorandum </w:t>
      </w:r>
      <w:r w:rsidR="008F2844">
        <w:t>identifies the potential project risks associated with an EPBC Referral.</w:t>
      </w:r>
      <w:r w:rsidR="006D272D">
        <w:t xml:space="preserve"> </w:t>
      </w:r>
    </w:p>
    <w:p w:rsidR="000A59BB" w:rsidRDefault="002133E6" w:rsidP="006D272D">
      <w:pPr>
        <w:pStyle w:val="GANumberedHeading1"/>
      </w:pPr>
      <w:r>
        <w:t xml:space="preserve">Background to </w:t>
      </w:r>
      <w:r w:rsidR="00CE128B">
        <w:t>EPBC Referral</w:t>
      </w:r>
    </w:p>
    <w:p w:rsidR="0061589D" w:rsidRDefault="0033764D" w:rsidP="0061589D">
      <w:r>
        <w:t xml:space="preserve">The EPBC Act is the Australian Commonwealth Government's central piece of environmental legislation and is administered through the DSEWPaC. The EPBC Act provides a legal framework to protect and manage nationally and internationally significant flora, fauna, ecological communities and heritage, which are classed as </w:t>
      </w:r>
      <w:r w:rsidR="00752E05">
        <w:t>"matters of national environmental significance" (MNES)</w:t>
      </w:r>
      <w:r>
        <w:t xml:space="preserve">. </w:t>
      </w:r>
      <w:r w:rsidR="0061589D">
        <w:t>The EPBC Act provides that a person proposing to take an action that the person thinks may be a "</w:t>
      </w:r>
      <w:r w:rsidR="00752E05">
        <w:t>C</w:t>
      </w:r>
      <w:r w:rsidR="0061589D">
        <w:t xml:space="preserve">ontrolled </w:t>
      </w:r>
      <w:r w:rsidR="00752E05">
        <w:t>A</w:t>
      </w:r>
      <w:r w:rsidR="0061589D">
        <w:t xml:space="preserve">ction" must refer the proposal to the Minister for Sustainability, Environment, Water, Population and Communities (Minister).  A </w:t>
      </w:r>
      <w:r w:rsidR="00752E05">
        <w:t>C</w:t>
      </w:r>
      <w:r w:rsidR="0061589D">
        <w:t xml:space="preserve">ontrolled </w:t>
      </w:r>
      <w:r w:rsidR="00752E05">
        <w:t>A</w:t>
      </w:r>
      <w:r w:rsidR="0061589D">
        <w:t>ction is an action that:</w:t>
      </w:r>
    </w:p>
    <w:p w:rsidR="0061589D" w:rsidRDefault="0061589D" w:rsidP="0061589D">
      <w:pPr>
        <w:pStyle w:val="Bullets"/>
      </w:pPr>
      <w:r>
        <w:t>Will have or is likely to have a significant impact on:</w:t>
      </w:r>
    </w:p>
    <w:p w:rsidR="0061589D" w:rsidRDefault="0061589D" w:rsidP="0061589D">
      <w:pPr>
        <w:pStyle w:val="Bullets"/>
        <w:numPr>
          <w:ilvl w:val="1"/>
          <w:numId w:val="8"/>
        </w:numPr>
      </w:pPr>
      <w:r>
        <w:t>World heritage areas;</w:t>
      </w:r>
    </w:p>
    <w:p w:rsidR="0061589D" w:rsidRDefault="0061589D" w:rsidP="0061589D">
      <w:pPr>
        <w:pStyle w:val="Bullets"/>
        <w:numPr>
          <w:ilvl w:val="1"/>
          <w:numId w:val="8"/>
        </w:numPr>
      </w:pPr>
      <w:r>
        <w:t>National heritage places;</w:t>
      </w:r>
    </w:p>
    <w:p w:rsidR="0061589D" w:rsidRDefault="0061589D" w:rsidP="0061589D">
      <w:pPr>
        <w:pStyle w:val="Bullets"/>
        <w:numPr>
          <w:ilvl w:val="1"/>
          <w:numId w:val="8"/>
        </w:numPr>
      </w:pPr>
      <w:r>
        <w:t>Ramsar wetlands of international importance;</w:t>
      </w:r>
    </w:p>
    <w:p w:rsidR="0061589D" w:rsidRDefault="0061589D" w:rsidP="0061589D">
      <w:pPr>
        <w:pStyle w:val="Bullets"/>
        <w:numPr>
          <w:ilvl w:val="1"/>
          <w:numId w:val="8"/>
        </w:numPr>
      </w:pPr>
      <w:r>
        <w:t>Commonwealth listed threatened species and communities;</w:t>
      </w:r>
    </w:p>
    <w:p w:rsidR="0061589D" w:rsidRDefault="0061589D" w:rsidP="0061589D">
      <w:pPr>
        <w:pStyle w:val="Bullets"/>
        <w:numPr>
          <w:ilvl w:val="1"/>
          <w:numId w:val="8"/>
        </w:numPr>
      </w:pPr>
      <w:r>
        <w:t>Commonwealth listed migratory species;</w:t>
      </w:r>
    </w:p>
    <w:p w:rsidR="0061589D" w:rsidRDefault="0061589D" w:rsidP="00F33851">
      <w:pPr>
        <w:pStyle w:val="Bullets"/>
        <w:numPr>
          <w:ilvl w:val="1"/>
          <w:numId w:val="8"/>
        </w:numPr>
        <w:spacing w:after="240"/>
      </w:pPr>
      <w:r>
        <w:t>Commonwealth marine areas;</w:t>
      </w:r>
    </w:p>
    <w:p w:rsidR="0061589D" w:rsidRDefault="0061589D" w:rsidP="0061589D">
      <w:pPr>
        <w:pStyle w:val="Bullets"/>
      </w:pPr>
      <w:r>
        <w:t>The environment on Commonwealth land; or</w:t>
      </w:r>
    </w:p>
    <w:p w:rsidR="0061589D" w:rsidRDefault="0061589D" w:rsidP="0061589D">
      <w:pPr>
        <w:pStyle w:val="Bullets"/>
      </w:pPr>
      <w:r>
        <w:t xml:space="preserve">The Great Barrier Reef Marine Park; </w:t>
      </w:r>
    </w:p>
    <w:p w:rsidR="0061589D" w:rsidRDefault="0061589D" w:rsidP="0061589D">
      <w:pPr>
        <w:pStyle w:val="Bullets"/>
      </w:pPr>
      <w:r>
        <w:t>Is undertaken by the Commonwealth and will have or is likely to have a significant impact on the environment;</w:t>
      </w:r>
    </w:p>
    <w:p w:rsidR="00F33851" w:rsidRDefault="00F33851">
      <w:pPr>
        <w:spacing w:after="0" w:line="240" w:lineRule="auto"/>
      </w:pPr>
      <w:r>
        <w:br w:type="page"/>
      </w:r>
    </w:p>
    <w:p w:rsidR="0061589D" w:rsidRDefault="0061589D" w:rsidP="0061589D">
      <w:pPr>
        <w:pStyle w:val="Bullets"/>
      </w:pPr>
      <w:r>
        <w:lastRenderedPageBreak/>
        <w:t>Is undertaken by any person on Commonwealth land and will have or is likely to have a significant impact on the environment; or</w:t>
      </w:r>
    </w:p>
    <w:p w:rsidR="0061589D" w:rsidRDefault="0061589D" w:rsidP="00F33851">
      <w:pPr>
        <w:pStyle w:val="Bullets"/>
        <w:spacing w:after="240"/>
      </w:pPr>
      <w:r>
        <w:t>Is a nuclear action.</w:t>
      </w:r>
    </w:p>
    <w:p w:rsidR="0061589D" w:rsidRDefault="0061589D" w:rsidP="00F33851">
      <w:pPr>
        <w:spacing w:after="240"/>
      </w:pPr>
      <w:r>
        <w:t>The EPBC Act sets out the process for identifying and listing the MNES including listed threatened species and listed migratory species.</w:t>
      </w:r>
    </w:p>
    <w:p w:rsidR="0061589D" w:rsidRDefault="0061589D" w:rsidP="006C0B6E">
      <w:pPr>
        <w:pStyle w:val="GANumberedHeading2"/>
      </w:pPr>
      <w:r>
        <w:t>Assessment procedures</w:t>
      </w:r>
    </w:p>
    <w:p w:rsidR="0061589D" w:rsidRDefault="006C0B6E" w:rsidP="0061589D">
      <w:r>
        <w:t xml:space="preserve">Under the EPBC Act, approval is required if a project is likely to have a significant impact on one or more of the defined matters of MNES. </w:t>
      </w:r>
      <w:r w:rsidR="0061589D">
        <w:t>In summary, the procedure for referral, determination, assessment and approval of activities under the EPBC Act is as follows:</w:t>
      </w:r>
    </w:p>
    <w:p w:rsidR="0061589D" w:rsidRDefault="0061589D" w:rsidP="006C0B6E">
      <w:pPr>
        <w:pStyle w:val="Bullets"/>
      </w:pPr>
      <w:r w:rsidRPr="006C0B6E">
        <w:rPr>
          <w:b/>
        </w:rPr>
        <w:t>Preliminary assessment:</w:t>
      </w:r>
      <w:r>
        <w:t xml:space="preserve">  The proponent conducts a preliminary assessment to determine if the action is likely to be a controlled action;</w:t>
      </w:r>
    </w:p>
    <w:p w:rsidR="0061589D" w:rsidRDefault="0061589D" w:rsidP="006C0B6E">
      <w:pPr>
        <w:pStyle w:val="Bullets"/>
      </w:pPr>
      <w:r w:rsidRPr="006C0B6E">
        <w:rPr>
          <w:b/>
        </w:rPr>
        <w:t>Referral:</w:t>
      </w:r>
      <w:r>
        <w:t xml:space="preserve">  If the proponent thinks that the activity might be a controlled action, or if the proponent wants confirmation as to whether the action is a controlled action, the proponent refers the action to the Commonwealth DSEWPaC for a determination on whether the activity is a controlled action;</w:t>
      </w:r>
    </w:p>
    <w:p w:rsidR="0061589D" w:rsidRDefault="0061589D" w:rsidP="006C0B6E">
      <w:pPr>
        <w:pStyle w:val="Bullets"/>
      </w:pPr>
      <w:r w:rsidRPr="006C0B6E">
        <w:rPr>
          <w:b/>
        </w:rPr>
        <w:t>Controlled action determination:</w:t>
      </w:r>
      <w:r>
        <w:t xml:space="preserve">  After receiving a referral, the Minister has 20 business days to determine whether the activity is:</w:t>
      </w:r>
    </w:p>
    <w:p w:rsidR="0061589D" w:rsidRDefault="0061589D" w:rsidP="006C0B6E">
      <w:pPr>
        <w:pStyle w:val="Bullets"/>
        <w:numPr>
          <w:ilvl w:val="1"/>
          <w:numId w:val="8"/>
        </w:numPr>
      </w:pPr>
      <w:r w:rsidRPr="006C0B6E">
        <w:rPr>
          <w:b/>
        </w:rPr>
        <w:t>not a controlled action:</w:t>
      </w:r>
      <w:r>
        <w:t xml:space="preserve">  the action requires no further assessment or approval under the EPBC Act providing it is carried out in accordance with the referral; </w:t>
      </w:r>
    </w:p>
    <w:p w:rsidR="0061589D" w:rsidRDefault="0061589D" w:rsidP="006C0B6E">
      <w:pPr>
        <w:pStyle w:val="Bullets"/>
        <w:numPr>
          <w:ilvl w:val="1"/>
          <w:numId w:val="8"/>
        </w:numPr>
      </w:pPr>
      <w:r w:rsidRPr="006C0B6E">
        <w:rPr>
          <w:b/>
        </w:rPr>
        <w:t>not a controlled action but must still be carried out in a particular manner:</w:t>
      </w:r>
      <w:r>
        <w:t xml:space="preserve">  The manner in which the activity must be carried out is specified in the Minister's notification.  Providing the activity is carried out in this manner, it will not require EPBC Act approval;</w:t>
      </w:r>
    </w:p>
    <w:p w:rsidR="0061589D" w:rsidRDefault="0061589D" w:rsidP="006C0B6E">
      <w:pPr>
        <w:pStyle w:val="Bullets"/>
        <w:numPr>
          <w:ilvl w:val="1"/>
          <w:numId w:val="8"/>
        </w:numPr>
      </w:pPr>
      <w:r w:rsidRPr="006C0B6E">
        <w:rPr>
          <w:b/>
        </w:rPr>
        <w:t>clearly unacceptable:</w:t>
      </w:r>
      <w:r>
        <w:t xml:space="preserve">  the action cannot be approved or otherwise undertaken; or</w:t>
      </w:r>
    </w:p>
    <w:p w:rsidR="0061589D" w:rsidRDefault="0061589D" w:rsidP="00F33851">
      <w:pPr>
        <w:pStyle w:val="Bullets"/>
        <w:numPr>
          <w:ilvl w:val="1"/>
          <w:numId w:val="8"/>
        </w:numPr>
        <w:spacing w:after="240"/>
      </w:pPr>
      <w:r w:rsidRPr="006C0B6E">
        <w:rPr>
          <w:b/>
        </w:rPr>
        <w:t>a controlled action:</w:t>
      </w:r>
      <w:r>
        <w:t xml:space="preserve">  the action requires assessment and approval under the EPBC Act.</w:t>
      </w:r>
    </w:p>
    <w:p w:rsidR="0061589D" w:rsidRDefault="0061589D" w:rsidP="006C0B6E">
      <w:pPr>
        <w:pStyle w:val="Bullets"/>
      </w:pPr>
      <w:r w:rsidRPr="006C0B6E">
        <w:rPr>
          <w:b/>
        </w:rPr>
        <w:t>Assessment procedures:</w:t>
      </w:r>
      <w:r>
        <w:t xml:space="preserve">  If the Minister determines that the activity is a controlled action then the Minister must determine the assessment procedure that will apply to the activity.  The assessment procedure may include:</w:t>
      </w:r>
    </w:p>
    <w:p w:rsidR="0061589D" w:rsidRDefault="0061589D" w:rsidP="006C0B6E">
      <w:pPr>
        <w:pStyle w:val="Bullets"/>
        <w:numPr>
          <w:ilvl w:val="1"/>
          <w:numId w:val="8"/>
        </w:numPr>
      </w:pPr>
      <w:r>
        <w:t>Assessment on referral information (ie the matter is assessed based purely on the referral documentation);</w:t>
      </w:r>
    </w:p>
    <w:p w:rsidR="0061589D" w:rsidRDefault="0061589D" w:rsidP="006C0B6E">
      <w:pPr>
        <w:pStyle w:val="Bullets"/>
        <w:numPr>
          <w:ilvl w:val="1"/>
          <w:numId w:val="8"/>
        </w:numPr>
      </w:pPr>
      <w:r>
        <w:t>Assessment on preliminary documentation: including referral documentation and any additional information required by the Minister;</w:t>
      </w:r>
    </w:p>
    <w:p w:rsidR="0061589D" w:rsidRDefault="0061589D" w:rsidP="006C0B6E">
      <w:pPr>
        <w:pStyle w:val="Bullets"/>
        <w:numPr>
          <w:ilvl w:val="1"/>
          <w:numId w:val="8"/>
        </w:numPr>
      </w:pPr>
      <w:r>
        <w:t>Assessment by an environmental impact statement, project environment report or strategic assessment prepared in accordance with the EPBC Act;</w:t>
      </w:r>
    </w:p>
    <w:p w:rsidR="0061589D" w:rsidRDefault="0061589D" w:rsidP="006C0B6E">
      <w:pPr>
        <w:pStyle w:val="Bullets"/>
        <w:numPr>
          <w:ilvl w:val="1"/>
          <w:numId w:val="8"/>
        </w:numPr>
      </w:pPr>
      <w:r>
        <w:t>Assessment by way of public inquiry; or</w:t>
      </w:r>
    </w:p>
    <w:p w:rsidR="0061589D" w:rsidRDefault="0061589D" w:rsidP="006C0B6E">
      <w:pPr>
        <w:pStyle w:val="Bullets"/>
        <w:numPr>
          <w:ilvl w:val="1"/>
          <w:numId w:val="8"/>
        </w:numPr>
      </w:pPr>
      <w:r>
        <w:t>Assessment under State assessment procedures accredited for the purposes of the EPBC Act by a bilateral agreement between the relevant State and the Federal Government.</w:t>
      </w:r>
    </w:p>
    <w:p w:rsidR="008F2844" w:rsidRDefault="008F2844" w:rsidP="00F33851">
      <w:pPr>
        <w:spacing w:after="240"/>
      </w:pPr>
      <w:r>
        <w:lastRenderedPageBreak/>
        <w:t>If DSEWPaC determine that the project is no</w:t>
      </w:r>
      <w:r w:rsidR="006C0B6E">
        <w:t>t</w:t>
      </w:r>
      <w:r>
        <w:t xml:space="preserve"> likely to result in a significant impact to a </w:t>
      </w:r>
      <w:r w:rsidR="006C0B6E">
        <w:t>MNES</w:t>
      </w:r>
      <w:r>
        <w:t xml:space="preserve"> the project is declared to be ‘not a controlled action’ and the Commonwealth government is no longer involved in the environmental assessment process.</w:t>
      </w:r>
    </w:p>
    <w:p w:rsidR="00DD50BE" w:rsidRDefault="00DD50BE" w:rsidP="00F33851">
      <w:pPr>
        <w:spacing w:after="240"/>
      </w:pPr>
      <w:r>
        <w:t xml:space="preserve">A project referral can be made either voluntarily by a proponent or a referral can be requested by DSEWPaC based upon its own or </w:t>
      </w:r>
      <w:r w:rsidR="008F2844">
        <w:t xml:space="preserve">a </w:t>
      </w:r>
      <w:r>
        <w:t xml:space="preserve">third party query. </w:t>
      </w:r>
    </w:p>
    <w:p w:rsidR="00DD50BE" w:rsidRDefault="00DD50BE" w:rsidP="00F33851">
      <w:pPr>
        <w:spacing w:after="240"/>
      </w:pPr>
      <w:r>
        <w:t>A voluntary EPBC Act referral has the benefit of timing the submission to correspond with Indicoal’s overall project approvals schedule and</w:t>
      </w:r>
      <w:r w:rsidR="008D5420">
        <w:t xml:space="preserve"> allows the project to be assessed under the bilateral agreement between the Commonwealth and Tasmanian State governments. It </w:t>
      </w:r>
      <w:r>
        <w:t xml:space="preserve">also provides surety as to the Commonwealth Government’s involvement early in the approvals process. </w:t>
      </w:r>
    </w:p>
    <w:p w:rsidR="00DD50BE" w:rsidRDefault="008F2844" w:rsidP="00F33851">
      <w:pPr>
        <w:spacing w:after="240"/>
      </w:pPr>
      <w:r>
        <w:t xml:space="preserve">However, if a voluntary referral is not made by the proponent, </w:t>
      </w:r>
      <w:r w:rsidR="00DD50BE">
        <w:t>DSEWPaC can request a referral at any time during the approvals process</w:t>
      </w:r>
      <w:r>
        <w:t xml:space="preserve">. When DSEWPaC request a referral it is termed ‘calling in’ the project. If a project is called in it </w:t>
      </w:r>
      <w:r w:rsidR="00DD50BE">
        <w:t>has the potential to add to the approval requirements and timeframes</w:t>
      </w:r>
      <w:r>
        <w:t xml:space="preserve"> and can remove the ability for the project to be assessed under the bilateral agreement</w:t>
      </w:r>
      <w:r w:rsidR="00DD50BE">
        <w:t xml:space="preserve">. </w:t>
      </w:r>
    </w:p>
    <w:p w:rsidR="008F2844" w:rsidRDefault="008F2844" w:rsidP="00BA7986">
      <w:pPr>
        <w:pStyle w:val="GANumberedHeading1"/>
      </w:pPr>
      <w:r>
        <w:t>Summary of Discussion with the Environment Protection Authority</w:t>
      </w:r>
    </w:p>
    <w:p w:rsidR="004D23D4" w:rsidRDefault="00BA7986" w:rsidP="00F33851">
      <w:pPr>
        <w:spacing w:after="240"/>
      </w:pPr>
      <w:r>
        <w:t xml:space="preserve">Prior to the submission of the draft Notice of Intent (NOI), Golder Associates Pty Ltd (Golder) discussed the requirements of the NOI with the Tasmanian Environment Protection Authority (EPA). During telephone discussions with Ms Kate Duttmer (25 September 2012) </w:t>
      </w:r>
      <w:r w:rsidR="00F148DD">
        <w:t>enquired if an EPBC Referral was going to be made for the project as assessmen</w:t>
      </w:r>
      <w:r w:rsidR="004D23D4">
        <w:t>t under the bilateral agreement requires the EPA to coordinate with the Commonwealth</w:t>
      </w:r>
      <w:r w:rsidR="00F148DD">
        <w:t>.</w:t>
      </w:r>
    </w:p>
    <w:p w:rsidR="003F689F" w:rsidRDefault="004D23D4" w:rsidP="00F33851">
      <w:pPr>
        <w:spacing w:after="240"/>
      </w:pPr>
      <w:r>
        <w:t xml:space="preserve">A follow up telephone discussion with Mr Malcolm Budd from the EPA (31 </w:t>
      </w:r>
      <w:r w:rsidR="0061589D">
        <w:t>October</w:t>
      </w:r>
      <w:r>
        <w:t xml:space="preserve"> 2012) again raised the issue of the EPBC Referral. Mr Malcolm Budd discussed the poten</w:t>
      </w:r>
      <w:r w:rsidR="003F689F">
        <w:t>tial administrative procedures associated with the bilateral agreement if a project was declared to be a controlled action. He also said that the EPA would consult with the Commonwealth during their assessment to inform them of the project.</w:t>
      </w:r>
    </w:p>
    <w:p w:rsidR="006C0B6E" w:rsidRDefault="006C0B6E" w:rsidP="00F33851">
      <w:pPr>
        <w:spacing w:after="240"/>
      </w:pPr>
      <w:r>
        <w:t xml:space="preserve">Golder received comments on the draft Notice of Intent (NOI) from the EPA on 9 November 2012. These comments included the question as to whether </w:t>
      </w:r>
      <w:r w:rsidR="005E13E5">
        <w:t xml:space="preserve">an EPBC Referral for the </w:t>
      </w:r>
      <w:r>
        <w:t xml:space="preserve">project was to be </w:t>
      </w:r>
      <w:r w:rsidR="005E13E5">
        <w:t xml:space="preserve">undertaken. </w:t>
      </w:r>
    </w:p>
    <w:p w:rsidR="003F689F" w:rsidRDefault="003F689F" w:rsidP="003F689F">
      <w:pPr>
        <w:pStyle w:val="GANumberedHeading1"/>
      </w:pPr>
      <w:r>
        <w:t xml:space="preserve">Project Risk </w:t>
      </w:r>
    </w:p>
    <w:p w:rsidR="00CD5B5C" w:rsidRDefault="003F689F" w:rsidP="00F33851">
      <w:pPr>
        <w:spacing w:after="240"/>
      </w:pPr>
      <w:r>
        <w:t>As previously discussed, an EPBC Referral can be submitted voluntarily to the Commonwealth</w:t>
      </w:r>
      <w:r w:rsidR="00683D26">
        <w:t xml:space="preserve"> – that is it is not an automatic legislative requirement for all projects. Once a project is referred, the Commonwealth will assess and determine the referral based on the level of impact to matters of </w:t>
      </w:r>
      <w:r w:rsidR="005E13E5">
        <w:t>M</w:t>
      </w:r>
      <w:r w:rsidR="00683D26">
        <w:t xml:space="preserve">NES. </w:t>
      </w:r>
      <w:r w:rsidR="00601D1D">
        <w:t xml:space="preserve">If the Commonwealth determine that a project is not a controlled action, the Commonwealth will have no further involvement in the environmental assessment of a project. </w:t>
      </w:r>
    </w:p>
    <w:p w:rsidR="00683D26" w:rsidRDefault="00601D1D" w:rsidP="00F33851">
      <w:pPr>
        <w:spacing w:after="240"/>
      </w:pPr>
      <w:r>
        <w:t>If a project has</w:t>
      </w:r>
      <w:r w:rsidR="009B194B">
        <w:t xml:space="preserve"> </w:t>
      </w:r>
      <w:r>
        <w:t xml:space="preserve">been declared </w:t>
      </w:r>
      <w:r w:rsidR="00CD5B5C">
        <w:t xml:space="preserve">to be </w:t>
      </w:r>
      <w:r>
        <w:t xml:space="preserve">not a controlled action, </w:t>
      </w:r>
      <w:r w:rsidR="00CD5B5C">
        <w:t xml:space="preserve">the Commonwealth will not call in the project if a </w:t>
      </w:r>
      <w:r>
        <w:t xml:space="preserve">third party request is </w:t>
      </w:r>
      <w:r w:rsidR="00CD5B5C">
        <w:t xml:space="preserve">made. </w:t>
      </w:r>
      <w:r w:rsidR="00DC537A">
        <w:t xml:space="preserve">If no referral is made by the proponent, a third party request is highly likely to trigger the Commonwealth to call in the project. </w:t>
      </w:r>
    </w:p>
    <w:p w:rsidR="00D46E5F" w:rsidRDefault="00683D26" w:rsidP="00F33851">
      <w:pPr>
        <w:spacing w:after="240"/>
      </w:pPr>
      <w:r>
        <w:t xml:space="preserve">Unless the project is a nuclear action, the type of development (e.g., coal mine, tourism </w:t>
      </w:r>
      <w:r w:rsidR="00D46E5F">
        <w:t xml:space="preserve">or industrial </w:t>
      </w:r>
      <w:r>
        <w:t xml:space="preserve">development etc) does not in itself trigger the EPBC Act. </w:t>
      </w:r>
      <w:r w:rsidR="00D46E5F">
        <w:t>However, as described in the draft Langloh Coal Stakeholder Engagement Plan</w:t>
      </w:r>
      <w:r w:rsidR="00601D1D">
        <w:t xml:space="preserve"> (Golder reference number </w:t>
      </w:r>
      <w:r w:rsidR="00601D1D" w:rsidRPr="00601D1D">
        <w:t>127613050-004-R-RevA</w:t>
      </w:r>
      <w:r w:rsidR="00601D1D">
        <w:t>, August 2012)</w:t>
      </w:r>
      <w:r w:rsidR="00D46E5F">
        <w:t xml:space="preserve">, there is a level of opposition from the </w:t>
      </w:r>
      <w:r w:rsidR="00D46E5F" w:rsidRPr="00D46E5F">
        <w:t xml:space="preserve">Australian Greens </w:t>
      </w:r>
      <w:r w:rsidR="00D46E5F">
        <w:t xml:space="preserve">political party and other green groups to any new or expansion of existing coal mines. This opposition has the potential to increase the risk that a third party may request </w:t>
      </w:r>
      <w:r w:rsidR="00DC537A">
        <w:t>the Commonwealth</w:t>
      </w:r>
      <w:r w:rsidR="00D46E5F">
        <w:t xml:space="preserve"> call in the project. </w:t>
      </w:r>
    </w:p>
    <w:p w:rsidR="00D46E5F" w:rsidRDefault="00D46E5F" w:rsidP="00F33851">
      <w:pPr>
        <w:spacing w:after="240"/>
      </w:pPr>
      <w:r>
        <w:t xml:space="preserve">If the project is called in after the EPA has officially commenced their assessment, the bilateral agreement between the Commonwealth and the Tasmanian EPA cannot be used for the project. Under this </w:t>
      </w:r>
      <w:r>
        <w:lastRenderedPageBreak/>
        <w:t xml:space="preserve">circumstance the project would be required to prepare two assessment documents and would be assessed under two different processes. </w:t>
      </w:r>
    </w:p>
    <w:p w:rsidR="00DC537A" w:rsidRDefault="00601D1D" w:rsidP="00F33851">
      <w:pPr>
        <w:spacing w:after="240"/>
      </w:pPr>
      <w:r w:rsidRPr="00601D1D">
        <w:t xml:space="preserve">While the project, at its current phase of assessment, appears unlikely to have a significant impact on a matter of environmental significance, if DSEWPaC requested a referral and declared the project a controlled action part way through the assessment </w:t>
      </w:r>
      <w:r w:rsidR="00DC537A">
        <w:t xml:space="preserve">by </w:t>
      </w:r>
      <w:r w:rsidRPr="00601D1D">
        <w:t xml:space="preserve">the </w:t>
      </w:r>
      <w:r>
        <w:t>Tasmanian EPA</w:t>
      </w:r>
      <w:r w:rsidR="00DC537A">
        <w:t>,</w:t>
      </w:r>
      <w:r>
        <w:t xml:space="preserve"> </w:t>
      </w:r>
      <w:r w:rsidRPr="00601D1D">
        <w:t xml:space="preserve">it could pose a significant schedule risk to </w:t>
      </w:r>
      <w:r>
        <w:t>Indicoal</w:t>
      </w:r>
      <w:r w:rsidRPr="00601D1D">
        <w:t xml:space="preserve">. </w:t>
      </w:r>
    </w:p>
    <w:p w:rsidR="00D46E5F" w:rsidRDefault="00601D1D" w:rsidP="00F33851">
      <w:pPr>
        <w:spacing w:after="240"/>
      </w:pPr>
      <w:r w:rsidRPr="00601D1D">
        <w:t>A voluntary project referral to the DSEWPaC will provide surety as to the assessment process for the project and provide strategic value for the project to prevent interruption mid-process.</w:t>
      </w:r>
      <w:r w:rsidR="00DC537A">
        <w:t xml:space="preserve"> As the </w:t>
      </w:r>
      <w:r w:rsidR="009B194B">
        <w:t xml:space="preserve">NOI has been submitted as a </w:t>
      </w:r>
      <w:r w:rsidR="00DC537A">
        <w:t>draft</w:t>
      </w:r>
      <w:r w:rsidR="009B194B">
        <w:t xml:space="preserve">, it is possible to prepare and submit an EPBC Referral prior to formal submission of the </w:t>
      </w:r>
      <w:r w:rsidR="00DC537A">
        <w:t>NOI</w:t>
      </w:r>
      <w:r w:rsidR="009B194B">
        <w:t>.</w:t>
      </w:r>
    </w:p>
    <w:p w:rsidR="005E13E5" w:rsidRDefault="005E13E5" w:rsidP="00F33851">
      <w:pPr>
        <w:spacing w:after="240"/>
      </w:pPr>
      <w:r>
        <w:t>An EPBC Referral must be made in a standard format set by the DSEWPaC. However, much of the information contained in the NOI would be used for the EPBC Referral.</w:t>
      </w:r>
    </w:p>
    <w:p w:rsidR="005E13E5" w:rsidRDefault="005E13E5" w:rsidP="005E13E5">
      <w:pPr>
        <w:pStyle w:val="GANumberedHeading1"/>
      </w:pPr>
      <w:r>
        <w:t>Recommended Actions</w:t>
      </w:r>
    </w:p>
    <w:p w:rsidR="005E13E5" w:rsidRDefault="005E13E5" w:rsidP="005E13E5">
      <w:r>
        <w:t>The preparation of an EPBC Referral is currently outside the approved scope of work. Golder recommends that a teleconference is undertaken between Indicoal and Golder to further discuss the EPBC Referral process and associated project risks. The outcome of this discussion (i.e. decision to refer the project or not) to be communicated to the EPA.</w:t>
      </w:r>
    </w:p>
    <w:p w:rsidR="009B194B" w:rsidRDefault="009B194B" w:rsidP="003F689F"/>
    <w:p w:rsidR="005C6F2C" w:rsidRPr="0073108E" w:rsidRDefault="0073108E">
      <w:pPr>
        <w:rPr>
          <w:sz w:val="16"/>
          <w:szCs w:val="16"/>
        </w:rPr>
      </w:pPr>
      <w:r w:rsidRPr="0073108E">
        <w:rPr>
          <w:sz w:val="16"/>
          <w:szCs w:val="16"/>
        </w:rPr>
        <w:t>RP</w:t>
      </w:r>
      <w:r w:rsidR="00F33851">
        <w:rPr>
          <w:sz w:val="16"/>
          <w:szCs w:val="16"/>
        </w:rPr>
        <w:t>/EC/k</w:t>
      </w:r>
      <w:r w:rsidRPr="0073108E">
        <w:rPr>
          <w:sz w:val="16"/>
          <w:szCs w:val="16"/>
        </w:rPr>
        <w:t>d</w:t>
      </w:r>
    </w:p>
    <w:p w:rsidR="00177105" w:rsidRPr="00177105" w:rsidRDefault="00F33851" w:rsidP="0086629C">
      <w:pPr>
        <w:pStyle w:val="FilePatheText"/>
      </w:pPr>
      <w:r>
        <w:fldChar w:fldCharType="begin"/>
      </w:r>
      <w:r>
        <w:instrText xml:space="preserve"> FILENAME  \p  \* MERGEFORMAT </w:instrText>
      </w:r>
      <w:r>
        <w:fldChar w:fldCharType="separate"/>
      </w:r>
      <w:r>
        <w:rPr>
          <w:noProof/>
        </w:rPr>
        <w:t>\\Mel1-s-file01\Jobs\Env\2012\127613050 - Langloh\Correspondence Out\127613050-006-EPBC Risks\127613050-006-M-Rev0.docx</w:t>
      </w:r>
      <w:bookmarkStart w:id="1" w:name="_GoBack"/>
      <w:bookmarkEnd w:id="1"/>
      <w:r>
        <w:rPr>
          <w:noProof/>
        </w:rPr>
        <w:fldChar w:fldCharType="end"/>
      </w:r>
    </w:p>
    <w:sectPr w:rsidR="00177105" w:rsidRPr="00177105" w:rsidSect="00560DFC">
      <w:headerReference w:type="default" r:id="rId11"/>
      <w:footerReference w:type="default" r:id="rId12"/>
      <w:headerReference w:type="first" r:id="rId13"/>
      <w:footerReference w:type="first" r:id="rId14"/>
      <w:type w:val="continuous"/>
      <w:pgSz w:w="11906" w:h="16838" w:code="9"/>
      <w:pgMar w:top="2234" w:right="907" w:bottom="1440" w:left="1361" w:header="624" w:footer="397" w:gutter="0"/>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4202" w:rsidRDefault="00584202">
      <w:r>
        <w:separator/>
      </w:r>
    </w:p>
  </w:endnote>
  <w:endnote w:type="continuationSeparator" w:id="0">
    <w:p w:rsidR="00584202" w:rsidRDefault="00584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single" w:sz="8" w:space="0" w:color="00755C"/>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395"/>
      <w:gridCol w:w="708"/>
      <w:gridCol w:w="4534"/>
    </w:tblGrid>
    <w:tr w:rsidR="006C0B6E">
      <w:trPr>
        <w:trHeight w:hRule="exact" w:val="737"/>
      </w:trPr>
      <w:tc>
        <w:tcPr>
          <w:tcW w:w="4395" w:type="dxa"/>
          <w:tcMar>
            <w:left w:w="0" w:type="dxa"/>
            <w:right w:w="0" w:type="dxa"/>
          </w:tcMar>
          <w:vAlign w:val="bottom"/>
        </w:tcPr>
        <w:p w:rsidR="006C0B6E" w:rsidRDefault="006C0B6E" w:rsidP="004B1CEE">
          <w:pPr>
            <w:pStyle w:val="Footer"/>
            <w:tabs>
              <w:tab w:val="clear" w:pos="4153"/>
              <w:tab w:val="center" w:pos="4820"/>
            </w:tabs>
            <w:jc w:val="left"/>
          </w:pPr>
          <w:r>
            <w:t xml:space="preserve">Date: </w:t>
          </w:r>
          <w:r w:rsidR="00F33851">
            <w:fldChar w:fldCharType="begin"/>
          </w:r>
          <w:r w:rsidR="00F33851">
            <w:instrText xml:space="preserve"> DOCPROPERTY  Memo_Date  \* MERGEFORMAT </w:instrText>
          </w:r>
          <w:r w:rsidR="00F33851">
            <w:fldChar w:fldCharType="separate"/>
          </w:r>
          <w:r w:rsidR="00F33851">
            <w:t>22 November 2012</w:t>
          </w:r>
          <w:r w:rsidR="00F33851">
            <w:fldChar w:fldCharType="end"/>
          </w:r>
        </w:p>
        <w:p w:rsidR="006C0B6E" w:rsidRDefault="00F33851" w:rsidP="004B1CEE">
          <w:pPr>
            <w:pStyle w:val="Footer"/>
            <w:tabs>
              <w:tab w:val="clear" w:pos="4153"/>
              <w:tab w:val="center" w:pos="4820"/>
            </w:tabs>
            <w:jc w:val="left"/>
          </w:pPr>
          <w:r>
            <w:fldChar w:fldCharType="begin"/>
          </w:r>
          <w:r>
            <w:instrText xml:space="preserve"> DOCPROPERTY  TypeOfNumber  \* MERGEFORMAT </w:instrText>
          </w:r>
          <w:r>
            <w:fldChar w:fldCharType="separate"/>
          </w:r>
          <w:r>
            <w:t>Document</w:t>
          </w:r>
          <w:r>
            <w:fldChar w:fldCharType="end"/>
          </w:r>
          <w:r w:rsidR="006C0B6E">
            <w:t xml:space="preserve"> No. </w:t>
          </w:r>
          <w:fldSimple w:instr=" DOCPROPERTY  Memo_Project_no  \* MERGEFORMAT ">
            <w:r>
              <w:t>127613050-006-M-Rev0</w:t>
            </w:r>
          </w:fldSimple>
        </w:p>
        <w:p w:rsidR="006C0B6E" w:rsidRDefault="006C0B6E" w:rsidP="004B1CEE">
          <w:pPr>
            <w:pStyle w:val="Footer"/>
            <w:tabs>
              <w:tab w:val="clear" w:pos="4153"/>
              <w:tab w:val="center" w:pos="4820"/>
            </w:tabs>
            <w:jc w:val="left"/>
          </w:pPr>
          <w:r>
            <w:fldChar w:fldCharType="begin"/>
          </w:r>
          <w:r>
            <w:instrText xml:space="preserve"> DOCPROPERTY  Memo_to  \* MERGEFORMAT </w:instrText>
          </w:r>
          <w:r>
            <w:fldChar w:fldCharType="end"/>
          </w:r>
        </w:p>
      </w:tc>
      <w:tc>
        <w:tcPr>
          <w:tcW w:w="708" w:type="dxa"/>
          <w:tcMar>
            <w:left w:w="0" w:type="dxa"/>
            <w:right w:w="0" w:type="dxa"/>
          </w:tcMar>
          <w:vAlign w:val="bottom"/>
        </w:tcPr>
        <w:p w:rsidR="006C0B6E" w:rsidRDefault="006C0B6E" w:rsidP="009F70EC">
          <w:pPr>
            <w:pStyle w:val="Footer"/>
            <w:tabs>
              <w:tab w:val="clear" w:pos="4153"/>
              <w:tab w:val="center" w:pos="4820"/>
            </w:tabs>
          </w:pPr>
          <w:r>
            <w:fldChar w:fldCharType="begin"/>
          </w:r>
          <w:r>
            <w:instrText xml:space="preserve"> PAGE  \* Arabic  \* MERGEFORMAT </w:instrText>
          </w:r>
          <w:r>
            <w:fldChar w:fldCharType="separate"/>
          </w:r>
          <w:r w:rsidR="00F33851">
            <w:rPr>
              <w:noProof/>
            </w:rPr>
            <w:t>4</w:t>
          </w:r>
          <w:r>
            <w:rPr>
              <w:noProof/>
            </w:rPr>
            <w:fldChar w:fldCharType="end"/>
          </w:r>
          <w:r>
            <w:t>/</w:t>
          </w:r>
          <w:r w:rsidR="00F33851">
            <w:fldChar w:fldCharType="begin"/>
          </w:r>
          <w:r w:rsidR="00F33851">
            <w:instrText xml:space="preserve"> NUMPAGES  \* Arabic  \* MERGEFORMAT </w:instrText>
          </w:r>
          <w:r w:rsidR="00F33851">
            <w:fldChar w:fldCharType="separate"/>
          </w:r>
          <w:r w:rsidR="00F33851">
            <w:rPr>
              <w:noProof/>
            </w:rPr>
            <w:t>4</w:t>
          </w:r>
          <w:r w:rsidR="00F33851">
            <w:rPr>
              <w:noProof/>
            </w:rPr>
            <w:fldChar w:fldCharType="end"/>
          </w:r>
        </w:p>
      </w:tc>
      <w:tc>
        <w:tcPr>
          <w:tcW w:w="4534" w:type="dxa"/>
          <w:tcMar>
            <w:left w:w="0" w:type="dxa"/>
            <w:right w:w="0" w:type="dxa"/>
          </w:tcMar>
          <w:vAlign w:val="bottom"/>
        </w:tcPr>
        <w:p w:rsidR="006C0B6E" w:rsidRDefault="006C0B6E" w:rsidP="0054508C">
          <w:pPr>
            <w:pStyle w:val="Footer"/>
            <w:tabs>
              <w:tab w:val="clear" w:pos="4153"/>
              <w:tab w:val="center" w:pos="4820"/>
            </w:tabs>
            <w:jc w:val="right"/>
          </w:pPr>
          <w:r>
            <w:rPr>
              <w:noProof/>
              <w:lang w:val="en-US"/>
            </w:rPr>
            <w:drawing>
              <wp:inline distT="0" distB="0" distL="0" distR="0" wp14:anchorId="53F4A831" wp14:editId="6BE53118">
                <wp:extent cx="888365" cy="340995"/>
                <wp:effectExtent l="19050" t="0" r="6985" b="0"/>
                <wp:docPr id="7" name="Picture 2" descr="GA Logo Small_RGB from Ph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A Logo Small_RGB from Phil"/>
                        <pic:cNvPicPr>
                          <a:picLocks noChangeAspect="1" noChangeArrowheads="1"/>
                        </pic:cNvPicPr>
                      </pic:nvPicPr>
                      <pic:blipFill>
                        <a:blip r:embed="rId1"/>
                        <a:srcRect/>
                        <a:stretch>
                          <a:fillRect/>
                        </a:stretch>
                      </pic:blipFill>
                      <pic:spPr bwMode="auto">
                        <a:xfrm>
                          <a:off x="0" y="0"/>
                          <a:ext cx="888365" cy="340995"/>
                        </a:xfrm>
                        <a:prstGeom prst="rect">
                          <a:avLst/>
                        </a:prstGeom>
                        <a:noFill/>
                        <a:ln w="9525">
                          <a:noFill/>
                          <a:miter lim="800000"/>
                          <a:headEnd/>
                          <a:tailEnd/>
                        </a:ln>
                      </pic:spPr>
                    </pic:pic>
                  </a:graphicData>
                </a:graphic>
              </wp:inline>
            </w:drawing>
          </w:r>
        </w:p>
      </w:tc>
    </w:tr>
  </w:tbl>
  <w:p w:rsidR="006C0B6E" w:rsidRDefault="006C0B6E" w:rsidP="00626B00">
    <w:pPr>
      <w:pStyle w:val="Footer"/>
      <w:tabs>
        <w:tab w:val="clear" w:pos="4153"/>
        <w:tab w:val="center" w:pos="4820"/>
      </w:tabs>
      <w:jc w:val="lef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single" w:sz="8" w:space="0" w:color="00755C"/>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395"/>
      <w:gridCol w:w="708"/>
      <w:gridCol w:w="4534"/>
    </w:tblGrid>
    <w:tr w:rsidR="006C0B6E">
      <w:trPr>
        <w:trHeight w:hRule="exact" w:val="737"/>
      </w:trPr>
      <w:tc>
        <w:tcPr>
          <w:tcW w:w="4395" w:type="dxa"/>
          <w:tcMar>
            <w:left w:w="0" w:type="dxa"/>
            <w:right w:w="0" w:type="dxa"/>
          </w:tcMar>
        </w:tcPr>
        <w:p w:rsidR="006C0B6E" w:rsidRDefault="006C0B6E" w:rsidP="009F0576">
          <w:pPr>
            <w:pStyle w:val="Footer"/>
            <w:tabs>
              <w:tab w:val="clear" w:pos="4153"/>
              <w:tab w:val="center" w:pos="4820"/>
            </w:tabs>
            <w:jc w:val="left"/>
          </w:pPr>
        </w:p>
        <w:p w:rsidR="006C0B6E" w:rsidRPr="005C7503" w:rsidRDefault="006C0B6E" w:rsidP="005C7503">
          <w:pPr>
            <w:jc w:val="center"/>
          </w:pPr>
        </w:p>
      </w:tc>
      <w:tc>
        <w:tcPr>
          <w:tcW w:w="708" w:type="dxa"/>
          <w:tcMar>
            <w:left w:w="0" w:type="dxa"/>
            <w:right w:w="0" w:type="dxa"/>
          </w:tcMar>
          <w:vAlign w:val="bottom"/>
        </w:tcPr>
        <w:p w:rsidR="006C0B6E" w:rsidRDefault="006C0B6E" w:rsidP="009F0576">
          <w:pPr>
            <w:pStyle w:val="Footer"/>
            <w:tabs>
              <w:tab w:val="clear" w:pos="4153"/>
              <w:tab w:val="center" w:pos="4820"/>
            </w:tabs>
          </w:pPr>
          <w:r>
            <w:fldChar w:fldCharType="begin"/>
          </w:r>
          <w:r>
            <w:instrText xml:space="preserve"> PAGE  \* Arabic  \* MERGEFORMAT </w:instrText>
          </w:r>
          <w:r>
            <w:fldChar w:fldCharType="separate"/>
          </w:r>
          <w:r w:rsidR="00F33851">
            <w:rPr>
              <w:noProof/>
            </w:rPr>
            <w:t>4</w:t>
          </w:r>
          <w:r>
            <w:fldChar w:fldCharType="end"/>
          </w:r>
          <w:r>
            <w:t>/</w:t>
          </w:r>
          <w:r w:rsidR="00F33851">
            <w:fldChar w:fldCharType="begin"/>
          </w:r>
          <w:r w:rsidR="00F33851">
            <w:instrText xml:space="preserve"> NUMPAGES  \* Arabic  \* MERGEFORMAT </w:instrText>
          </w:r>
          <w:r w:rsidR="00F33851">
            <w:fldChar w:fldCharType="separate"/>
          </w:r>
          <w:r w:rsidR="00F33851">
            <w:rPr>
              <w:noProof/>
            </w:rPr>
            <w:t>4</w:t>
          </w:r>
          <w:r w:rsidR="00F33851">
            <w:rPr>
              <w:noProof/>
            </w:rPr>
            <w:fldChar w:fldCharType="end"/>
          </w:r>
        </w:p>
      </w:tc>
      <w:tc>
        <w:tcPr>
          <w:tcW w:w="4534" w:type="dxa"/>
          <w:tcMar>
            <w:left w:w="0" w:type="dxa"/>
            <w:right w:w="0" w:type="dxa"/>
          </w:tcMar>
          <w:vAlign w:val="bottom"/>
        </w:tcPr>
        <w:p w:rsidR="006C0B6E" w:rsidRDefault="006C0B6E" w:rsidP="009F0576">
          <w:pPr>
            <w:pStyle w:val="Footer"/>
            <w:tabs>
              <w:tab w:val="clear" w:pos="4153"/>
              <w:tab w:val="center" w:pos="4820"/>
            </w:tabs>
            <w:jc w:val="right"/>
          </w:pPr>
          <w:r>
            <w:rPr>
              <w:noProof/>
              <w:szCs w:val="8"/>
              <w:lang w:val="en-US"/>
            </w:rPr>
            <w:drawing>
              <wp:inline distT="0" distB="0" distL="0" distR="0" wp14:anchorId="198C82A1" wp14:editId="3E7C0F9D">
                <wp:extent cx="965835" cy="373380"/>
                <wp:effectExtent l="19050" t="0" r="5715" b="0"/>
                <wp:docPr id="4" name="Picture 4" descr="Golder Logo Very Small_Black Resiz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older Logo Very Small_Black Resized"/>
                        <pic:cNvPicPr>
                          <a:picLocks noChangeAspect="1" noChangeArrowheads="1"/>
                        </pic:cNvPicPr>
                      </pic:nvPicPr>
                      <pic:blipFill>
                        <a:blip r:embed="rId1"/>
                        <a:srcRect/>
                        <a:stretch>
                          <a:fillRect/>
                        </a:stretch>
                      </pic:blipFill>
                      <pic:spPr bwMode="auto">
                        <a:xfrm>
                          <a:off x="0" y="0"/>
                          <a:ext cx="965835" cy="373380"/>
                        </a:xfrm>
                        <a:prstGeom prst="rect">
                          <a:avLst/>
                        </a:prstGeom>
                        <a:noFill/>
                        <a:ln w="9525">
                          <a:noFill/>
                          <a:miter lim="800000"/>
                          <a:headEnd/>
                          <a:tailEnd/>
                        </a:ln>
                      </pic:spPr>
                    </pic:pic>
                  </a:graphicData>
                </a:graphic>
              </wp:inline>
            </w:drawing>
          </w:r>
        </w:p>
      </w:tc>
    </w:tr>
  </w:tbl>
  <w:p w:rsidR="006C0B6E" w:rsidRDefault="006C0B6E" w:rsidP="005C7503">
    <w:pPr>
      <w:pStyle w:val="Footer"/>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4202" w:rsidRDefault="00584202">
      <w:r>
        <w:separator/>
      </w:r>
    </w:p>
  </w:footnote>
  <w:footnote w:type="continuationSeparator" w:id="0">
    <w:p w:rsidR="00584202" w:rsidRDefault="005842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pPr w:leftFromText="181" w:rightFromText="181" w:vertAnchor="page" w:horzAnchor="page" w:tblpX="1305" w:tblpY="1135"/>
      <w:tblOverlap w:val="never"/>
      <w:tblW w:w="9696" w:type="dxa"/>
      <w:tblBorders>
        <w:top w:val="single" w:sz="8" w:space="0" w:color="00755C"/>
        <w:left w:val="none" w:sz="0" w:space="0" w:color="auto"/>
        <w:bottom w:val="single" w:sz="8" w:space="0" w:color="00755C"/>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248"/>
      <w:gridCol w:w="7448"/>
    </w:tblGrid>
    <w:tr w:rsidR="006C0B6E" w:rsidTr="006C30E7">
      <w:trPr>
        <w:trHeight w:val="680"/>
      </w:trPr>
      <w:tc>
        <w:tcPr>
          <w:tcW w:w="2268" w:type="dxa"/>
        </w:tcPr>
        <w:p w:rsidR="006C0B6E" w:rsidRDefault="006C0B6E" w:rsidP="006832FE">
          <w:pPr>
            <w:pStyle w:val="Header"/>
          </w:pPr>
          <w:r w:rsidRPr="006832FE">
            <w:rPr>
              <w:noProof/>
              <w:lang w:val="en-US"/>
            </w:rPr>
            <w:drawing>
              <wp:inline distT="0" distB="0" distL="0" distR="0">
                <wp:extent cx="1427480" cy="422275"/>
                <wp:effectExtent l="19050" t="0" r="1270" b="0"/>
                <wp:docPr id="2" name="7 Imagen" descr="Worl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ld.jpg"/>
                        <pic:cNvPicPr/>
                      </pic:nvPicPr>
                      <pic:blipFill>
                        <a:blip r:embed="rId1"/>
                        <a:srcRect t="1099" b="4537"/>
                        <a:stretch>
                          <a:fillRect/>
                        </a:stretch>
                      </pic:blipFill>
                      <pic:spPr>
                        <a:xfrm>
                          <a:off x="0" y="0"/>
                          <a:ext cx="1427480" cy="422275"/>
                        </a:xfrm>
                        <a:prstGeom prst="rect">
                          <a:avLst/>
                        </a:prstGeom>
                      </pic:spPr>
                    </pic:pic>
                  </a:graphicData>
                </a:graphic>
              </wp:inline>
            </w:drawing>
          </w:r>
        </w:p>
      </w:tc>
      <w:tc>
        <w:tcPr>
          <w:tcW w:w="7513" w:type="dxa"/>
          <w:shd w:val="clear" w:color="auto" w:fill="auto"/>
          <w:tcMar>
            <w:left w:w="284" w:type="dxa"/>
          </w:tcMar>
          <w:vAlign w:val="center"/>
        </w:tcPr>
        <w:p w:rsidR="006C0B6E" w:rsidRDefault="006C0B6E" w:rsidP="00CD5E4B">
          <w:pPr>
            <w:pStyle w:val="Header"/>
          </w:pPr>
          <w:r>
            <w:t>memorandum</w:t>
          </w:r>
        </w:p>
      </w:tc>
    </w:tr>
  </w:tbl>
  <w:p w:rsidR="006C0B6E" w:rsidRDefault="006C0B6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pPr w:leftFromText="181" w:rightFromText="181" w:vertAnchor="page" w:tblpY="1135"/>
      <w:tblOverlap w:val="never"/>
      <w:tblW w:w="96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248"/>
      <w:gridCol w:w="7448"/>
    </w:tblGrid>
    <w:tr w:rsidR="006C0B6E">
      <w:tc>
        <w:tcPr>
          <w:tcW w:w="2268" w:type="dxa"/>
        </w:tcPr>
        <w:p w:rsidR="006C0B6E" w:rsidRDefault="006C0B6E" w:rsidP="00A20FA8">
          <w:pPr>
            <w:pStyle w:val="Header"/>
          </w:pPr>
          <w:r>
            <w:rPr>
              <w:noProof/>
              <w:lang w:val="en-US"/>
            </w:rPr>
            <w:drawing>
              <wp:inline distT="0" distB="0" distL="0" distR="0" wp14:anchorId="53C7FF26" wp14:editId="3A942774">
                <wp:extent cx="1403985" cy="431165"/>
                <wp:effectExtent l="19050" t="0" r="5715" b="0"/>
                <wp:docPr id="3" name="Picture 3" descr="3Globes new"/>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3Globes new"/>
                        <pic:cNvPicPr preferRelativeResize="0">
                          <a:picLocks noChangeArrowheads="1"/>
                        </pic:cNvPicPr>
                      </pic:nvPicPr>
                      <pic:blipFill>
                        <a:blip r:embed="rId1"/>
                        <a:srcRect/>
                        <a:stretch>
                          <a:fillRect/>
                        </a:stretch>
                      </pic:blipFill>
                      <pic:spPr bwMode="auto">
                        <a:xfrm>
                          <a:off x="0" y="0"/>
                          <a:ext cx="1403985" cy="431165"/>
                        </a:xfrm>
                        <a:prstGeom prst="rect">
                          <a:avLst/>
                        </a:prstGeom>
                        <a:noFill/>
                        <a:ln w="9525">
                          <a:noFill/>
                          <a:miter lim="800000"/>
                          <a:headEnd/>
                          <a:tailEnd/>
                        </a:ln>
                      </pic:spPr>
                    </pic:pic>
                  </a:graphicData>
                </a:graphic>
              </wp:inline>
            </w:drawing>
          </w:r>
        </w:p>
      </w:tc>
      <w:tc>
        <w:tcPr>
          <w:tcW w:w="7513" w:type="dxa"/>
          <w:shd w:val="clear" w:color="auto" w:fill="00755C"/>
          <w:tcMar>
            <w:left w:w="85" w:type="dxa"/>
          </w:tcMar>
          <w:vAlign w:val="center"/>
        </w:tcPr>
        <w:p w:rsidR="006C0B6E" w:rsidRDefault="006C0B6E" w:rsidP="00A20FA8">
          <w:pPr>
            <w:pStyle w:val="Header"/>
          </w:pPr>
          <w:r>
            <w:t>memorandum</w:t>
          </w:r>
        </w:p>
      </w:tc>
    </w:tr>
  </w:tbl>
  <w:p w:rsidR="006C0B6E" w:rsidRDefault="006C0B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D24D5"/>
    <w:multiLevelType w:val="multilevel"/>
    <w:tmpl w:val="90BC1618"/>
    <w:lvl w:ilvl="0">
      <w:start w:val="1"/>
      <w:numFmt w:val="decimal"/>
      <w:pStyle w:val="GANumberedHeading1"/>
      <w:lvlText w:val="%1.0"/>
      <w:lvlJc w:val="left"/>
      <w:pPr>
        <w:tabs>
          <w:tab w:val="num" w:pos="794"/>
        </w:tabs>
        <w:ind w:left="794" w:hanging="794"/>
      </w:pPr>
      <w:rPr>
        <w:rFonts w:ascii="Arial" w:hAnsi="Arial" w:hint="default"/>
        <w:b/>
        <w:i w:val="0"/>
        <w:sz w:val="24"/>
        <w:szCs w:val="24"/>
      </w:rPr>
    </w:lvl>
    <w:lvl w:ilvl="1">
      <w:start w:val="1"/>
      <w:numFmt w:val="decimal"/>
      <w:pStyle w:val="GANumberedHeading2"/>
      <w:lvlText w:val="%1.%2"/>
      <w:lvlJc w:val="left"/>
      <w:pPr>
        <w:tabs>
          <w:tab w:val="num" w:pos="907"/>
        </w:tabs>
        <w:ind w:left="907" w:hanging="907"/>
      </w:pPr>
      <w:rPr>
        <w:rFonts w:ascii="Arial" w:hAnsi="Arial"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ANumberedHeading3"/>
      <w:lvlText w:val="%1.%2.%3"/>
      <w:lvlJc w:val="left"/>
      <w:pPr>
        <w:tabs>
          <w:tab w:val="num" w:pos="1021"/>
        </w:tabs>
        <w:ind w:left="1021" w:hanging="1021"/>
      </w:pPr>
      <w:rPr>
        <w:rFonts w:ascii="Arial" w:hAnsi="Arial" w:hint="default"/>
        <w:b/>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GANumberedHeading4"/>
      <w:lvlText w:val="%1.%2.%3.%4"/>
      <w:lvlJc w:val="left"/>
      <w:pPr>
        <w:tabs>
          <w:tab w:val="num" w:pos="1247"/>
        </w:tabs>
        <w:ind w:left="1247" w:hanging="1247"/>
      </w:pPr>
      <w:rPr>
        <w:rFonts w:ascii="Arial" w:hAnsi="Arial" w:hint="default"/>
        <w:b/>
        <w:i/>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GANumberedHeading5"/>
      <w:lvlText w:val="%1.%2.%3.%4.%5"/>
      <w:lvlJc w:val="left"/>
      <w:pPr>
        <w:tabs>
          <w:tab w:val="num" w:pos="1418"/>
        </w:tabs>
        <w:ind w:left="1418" w:hanging="1418"/>
      </w:pPr>
      <w:rPr>
        <w:rFonts w:ascii="Arial" w:hAnsi="Arial" w:hint="default"/>
        <w:b/>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GANumberedHeading6"/>
      <w:lvlText w:val="%1.%2.%3.%4.%5.%6"/>
      <w:lvlJc w:val="left"/>
      <w:pPr>
        <w:tabs>
          <w:tab w:val="num" w:pos="1588"/>
        </w:tabs>
        <w:ind w:left="1588" w:hanging="1588"/>
      </w:pPr>
      <w:rPr>
        <w:rFonts w:ascii="Arial" w:hAnsi="Arial" w:hint="default"/>
        <w:b/>
        <w:i/>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
    <w:nsid w:val="0FA02DC1"/>
    <w:multiLevelType w:val="multilevel"/>
    <w:tmpl w:val="90BC1618"/>
    <w:lvl w:ilvl="0">
      <w:start w:val="1"/>
      <w:numFmt w:val="decimal"/>
      <w:lvlText w:val="%1.0"/>
      <w:lvlJc w:val="left"/>
      <w:pPr>
        <w:tabs>
          <w:tab w:val="num" w:pos="794"/>
        </w:tabs>
        <w:ind w:left="794" w:hanging="794"/>
      </w:pPr>
      <w:rPr>
        <w:rFonts w:ascii="Arial" w:hAnsi="Arial" w:hint="default"/>
        <w:b/>
        <w:i w:val="0"/>
        <w:sz w:val="24"/>
        <w:szCs w:val="24"/>
      </w:rPr>
    </w:lvl>
    <w:lvl w:ilvl="1">
      <w:start w:val="1"/>
      <w:numFmt w:val="decimal"/>
      <w:lvlText w:val="%1.%2"/>
      <w:lvlJc w:val="left"/>
      <w:pPr>
        <w:tabs>
          <w:tab w:val="num" w:pos="907"/>
        </w:tabs>
        <w:ind w:left="907" w:hanging="907"/>
      </w:pPr>
      <w:rPr>
        <w:rFonts w:ascii="Arial" w:hAnsi="Arial"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021"/>
        </w:tabs>
        <w:ind w:left="1021" w:hanging="1021"/>
      </w:pPr>
      <w:rPr>
        <w:rFonts w:ascii="Arial" w:hAnsi="Arial" w:hint="default"/>
        <w:b/>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247"/>
        </w:tabs>
        <w:ind w:left="1247" w:hanging="1247"/>
      </w:pPr>
      <w:rPr>
        <w:rFonts w:ascii="Arial" w:hAnsi="Arial" w:hint="default"/>
        <w:b/>
        <w:i/>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418"/>
        </w:tabs>
        <w:ind w:left="1418" w:hanging="1418"/>
      </w:pPr>
      <w:rPr>
        <w:rFonts w:ascii="Arial" w:hAnsi="Arial" w:hint="default"/>
        <w:b/>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588"/>
        </w:tabs>
        <w:ind w:left="1588" w:hanging="1588"/>
      </w:pPr>
      <w:rPr>
        <w:rFonts w:ascii="Arial" w:hAnsi="Arial" w:hint="default"/>
        <w:b/>
        <w:i/>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
    <w:nsid w:val="1180008B"/>
    <w:multiLevelType w:val="hybridMultilevel"/>
    <w:tmpl w:val="178E1A18"/>
    <w:lvl w:ilvl="0" w:tplc="EE40B89E">
      <w:start w:val="1"/>
      <w:numFmt w:val="decimal"/>
      <w:pStyle w:val="NumberedList"/>
      <w:lvlText w:val="%1)"/>
      <w:lvlJc w:val="left"/>
      <w:pPr>
        <w:tabs>
          <w:tab w:val="num" w:pos="454"/>
        </w:tabs>
        <w:ind w:left="454" w:hanging="454"/>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1DD7036"/>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1A1A0BB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1EEF5D1B"/>
    <w:multiLevelType w:val="hybridMultilevel"/>
    <w:tmpl w:val="B58C2B4E"/>
    <w:lvl w:ilvl="0" w:tplc="FCCCBB36">
      <w:start w:val="1"/>
      <w:numFmt w:val="upperLetter"/>
      <w:lvlText w:val="Appendix %1"/>
      <w:lvlJc w:val="left"/>
      <w:pPr>
        <w:tabs>
          <w:tab w:val="num" w:pos="720"/>
        </w:tabs>
        <w:ind w:left="720" w:hanging="720"/>
      </w:pPr>
      <w:rPr>
        <w:rFonts w:ascii="Arial" w:hAnsi="Arial" w:hint="default"/>
        <w:b/>
        <w:i w:val="0"/>
        <w:caps/>
        <w:color w:val="00755C"/>
        <w:sz w:val="56"/>
        <w:szCs w:val="56"/>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F1B7C1D"/>
    <w:multiLevelType w:val="multilevel"/>
    <w:tmpl w:val="0C80CF9E"/>
    <w:lvl w:ilvl="0">
      <w:start w:val="1"/>
      <w:numFmt w:val="bullet"/>
      <w:pStyle w:val="Bullets"/>
      <w:lvlText w:val=""/>
      <w:lvlJc w:val="left"/>
      <w:pPr>
        <w:tabs>
          <w:tab w:val="num" w:pos="454"/>
        </w:tabs>
        <w:ind w:left="454" w:hanging="454"/>
      </w:pPr>
      <w:rPr>
        <w:rFonts w:ascii="Wingdings 2" w:hAnsi="Wingdings 2" w:hint="default"/>
        <w:color w:val="00755C"/>
        <w:position w:val="-6"/>
        <w:sz w:val="28"/>
        <w:szCs w:val="28"/>
      </w:rPr>
    </w:lvl>
    <w:lvl w:ilvl="1">
      <w:start w:val="1"/>
      <w:numFmt w:val="bullet"/>
      <w:lvlText w:val=""/>
      <w:lvlJc w:val="left"/>
      <w:pPr>
        <w:tabs>
          <w:tab w:val="num" w:pos="794"/>
        </w:tabs>
        <w:ind w:left="794" w:hanging="340"/>
      </w:pPr>
      <w:rPr>
        <w:rFonts w:ascii="Wingdings" w:hAnsi="Wingdings" w:hint="default"/>
        <w:color w:val="00755C"/>
        <w:sz w:val="24"/>
        <w:szCs w:val="24"/>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7">
    <w:nsid w:val="4726486A"/>
    <w:multiLevelType w:val="hybridMultilevel"/>
    <w:tmpl w:val="3988A6BC"/>
    <w:lvl w:ilvl="0" w:tplc="7FA448F6">
      <w:start w:val="1"/>
      <w:numFmt w:val="lowerRoman"/>
      <w:pStyle w:val="RomanNumbered"/>
      <w:lvlText w:val="%1)"/>
      <w:lvlJc w:val="left"/>
      <w:pPr>
        <w:tabs>
          <w:tab w:val="num" w:pos="454"/>
        </w:tabs>
        <w:ind w:left="454" w:hanging="454"/>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4D0B52B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5E5656B6"/>
    <w:multiLevelType w:val="hybridMultilevel"/>
    <w:tmpl w:val="83746010"/>
    <w:lvl w:ilvl="0" w:tplc="C41AA14E">
      <w:start w:val="1"/>
      <w:numFmt w:val="lowerLetter"/>
      <w:pStyle w:val="Smallletters"/>
      <w:lvlText w:val="%1)"/>
      <w:lvlJc w:val="left"/>
      <w:pPr>
        <w:tabs>
          <w:tab w:val="num" w:pos="454"/>
        </w:tabs>
        <w:ind w:left="454" w:hanging="454"/>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6BDF1B64"/>
    <w:multiLevelType w:val="multilevel"/>
    <w:tmpl w:val="781AF81A"/>
    <w:lvl w:ilvl="0">
      <w:start w:val="1"/>
      <w:numFmt w:val="bullet"/>
      <w:lvlText w:val=""/>
      <w:lvlJc w:val="left"/>
      <w:pPr>
        <w:tabs>
          <w:tab w:val="num" w:pos="720"/>
        </w:tabs>
        <w:ind w:left="397" w:hanging="397"/>
      </w:pPr>
      <w:rPr>
        <w:rFonts w:ascii="Symbol" w:hAnsi="Symbol"/>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7E25215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7FBF14ED"/>
    <w:multiLevelType w:val="multilevel"/>
    <w:tmpl w:val="AA946E2A"/>
    <w:lvl w:ilvl="0">
      <w:start w:val="1"/>
      <w:numFmt w:val="bullet"/>
      <w:lvlText w:val=""/>
      <w:lvlJc w:val="left"/>
      <w:pPr>
        <w:tabs>
          <w:tab w:val="num" w:pos="454"/>
        </w:tabs>
        <w:ind w:left="454" w:hanging="454"/>
      </w:pPr>
      <w:rPr>
        <w:rFonts w:ascii="Wingdings 2" w:hAnsi="Wingdings 2" w:hint="default"/>
        <w:color w:val="00775B"/>
        <w:position w:val="-6"/>
        <w:sz w:val="34"/>
        <w:szCs w:val="34"/>
      </w:rPr>
    </w:lvl>
    <w:lvl w:ilvl="1">
      <w:start w:val="1"/>
      <w:numFmt w:val="bullet"/>
      <w:lvlText w:val=""/>
      <w:lvlJc w:val="left"/>
      <w:pPr>
        <w:tabs>
          <w:tab w:val="num" w:pos="720"/>
        </w:tabs>
        <w:ind w:left="720" w:hanging="360"/>
      </w:pPr>
      <w:rPr>
        <w:rFonts w:ascii="Wingdings" w:hAnsi="Wingdings" w:hint="default"/>
        <w:sz w:val="24"/>
        <w:szCs w:val="24"/>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num w:numId="1">
    <w:abstractNumId w:val="6"/>
  </w:num>
  <w:num w:numId="2">
    <w:abstractNumId w:val="2"/>
  </w:num>
  <w:num w:numId="3">
    <w:abstractNumId w:val="7"/>
  </w:num>
  <w:num w:numId="4">
    <w:abstractNumId w:val="9"/>
  </w:num>
  <w:num w:numId="5">
    <w:abstractNumId w:val="11"/>
  </w:num>
  <w:num w:numId="6">
    <w:abstractNumId w:val="12"/>
  </w:num>
  <w:num w:numId="7">
    <w:abstractNumId w:val="10"/>
  </w:num>
  <w:num w:numId="8">
    <w:abstractNumId w:val="6"/>
  </w:num>
  <w:num w:numId="9">
    <w:abstractNumId w:val="2"/>
  </w:num>
  <w:num w:numId="10">
    <w:abstractNumId w:val="9"/>
  </w:num>
  <w:num w:numId="11">
    <w:abstractNumId w:val="7"/>
  </w:num>
  <w:num w:numId="12">
    <w:abstractNumId w:val="3"/>
  </w:num>
  <w:num w:numId="13">
    <w:abstractNumId w:val="0"/>
  </w:num>
  <w:num w:numId="14">
    <w:abstractNumId w:val="0"/>
  </w:num>
  <w:num w:numId="15">
    <w:abstractNumId w:val="0"/>
  </w:num>
  <w:num w:numId="16">
    <w:abstractNumId w:val="0"/>
  </w:num>
  <w:num w:numId="17">
    <w:abstractNumId w:val="0"/>
  </w:num>
  <w:num w:numId="18">
    <w:abstractNumId w:val="0"/>
  </w:num>
  <w:num w:numId="19">
    <w:abstractNumId w:val="1"/>
  </w:num>
  <w:num w:numId="20">
    <w:abstractNumId w:val="8"/>
  </w:num>
  <w:num w:numId="21">
    <w:abstractNumId w:val="4"/>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6145">
      <o:colormru v:ext="edit" colors="#00775b"/>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46C3"/>
    <w:rsid w:val="000034CF"/>
    <w:rsid w:val="0001304F"/>
    <w:rsid w:val="000135A8"/>
    <w:rsid w:val="00021FAA"/>
    <w:rsid w:val="00026213"/>
    <w:rsid w:val="000279AC"/>
    <w:rsid w:val="000312BD"/>
    <w:rsid w:val="00035A3C"/>
    <w:rsid w:val="000374C1"/>
    <w:rsid w:val="000455B2"/>
    <w:rsid w:val="000663C6"/>
    <w:rsid w:val="0007232D"/>
    <w:rsid w:val="000729E5"/>
    <w:rsid w:val="0008001F"/>
    <w:rsid w:val="00083B13"/>
    <w:rsid w:val="00095018"/>
    <w:rsid w:val="000A23BF"/>
    <w:rsid w:val="000A2565"/>
    <w:rsid w:val="000A59BB"/>
    <w:rsid w:val="000B34D4"/>
    <w:rsid w:val="000B3E22"/>
    <w:rsid w:val="000B5F10"/>
    <w:rsid w:val="000B6A06"/>
    <w:rsid w:val="000B7EE0"/>
    <w:rsid w:val="000C26B2"/>
    <w:rsid w:val="000C71BD"/>
    <w:rsid w:val="000D483C"/>
    <w:rsid w:val="000E284D"/>
    <w:rsid w:val="000E7ACC"/>
    <w:rsid w:val="000F50DB"/>
    <w:rsid w:val="0010379A"/>
    <w:rsid w:val="00104058"/>
    <w:rsid w:val="001047F3"/>
    <w:rsid w:val="00110492"/>
    <w:rsid w:val="00116FD8"/>
    <w:rsid w:val="0012674B"/>
    <w:rsid w:val="00132C3F"/>
    <w:rsid w:val="00134671"/>
    <w:rsid w:val="00140385"/>
    <w:rsid w:val="00140626"/>
    <w:rsid w:val="001430CF"/>
    <w:rsid w:val="00143B99"/>
    <w:rsid w:val="001474E7"/>
    <w:rsid w:val="0016194D"/>
    <w:rsid w:val="001625D0"/>
    <w:rsid w:val="00162710"/>
    <w:rsid w:val="001636ED"/>
    <w:rsid w:val="00165CE0"/>
    <w:rsid w:val="0017541F"/>
    <w:rsid w:val="00177105"/>
    <w:rsid w:val="0019595B"/>
    <w:rsid w:val="001A099E"/>
    <w:rsid w:val="001A3DE9"/>
    <w:rsid w:val="001E0B1F"/>
    <w:rsid w:val="001E3FB2"/>
    <w:rsid w:val="001E53D8"/>
    <w:rsid w:val="001E555F"/>
    <w:rsid w:val="001E5DD5"/>
    <w:rsid w:val="001E610D"/>
    <w:rsid w:val="001E79E1"/>
    <w:rsid w:val="001F157A"/>
    <w:rsid w:val="001F1755"/>
    <w:rsid w:val="001F7620"/>
    <w:rsid w:val="002133E6"/>
    <w:rsid w:val="002139CC"/>
    <w:rsid w:val="00215C37"/>
    <w:rsid w:val="00221940"/>
    <w:rsid w:val="00223556"/>
    <w:rsid w:val="00244931"/>
    <w:rsid w:val="00244AA0"/>
    <w:rsid w:val="0024516C"/>
    <w:rsid w:val="00245178"/>
    <w:rsid w:val="0024560D"/>
    <w:rsid w:val="00245DC0"/>
    <w:rsid w:val="00250FFC"/>
    <w:rsid w:val="00256646"/>
    <w:rsid w:val="002574D0"/>
    <w:rsid w:val="00257CA0"/>
    <w:rsid w:val="00274F9B"/>
    <w:rsid w:val="00277D3C"/>
    <w:rsid w:val="00282386"/>
    <w:rsid w:val="00287447"/>
    <w:rsid w:val="002A1B84"/>
    <w:rsid w:val="002A59D1"/>
    <w:rsid w:val="002A6A56"/>
    <w:rsid w:val="002A7C69"/>
    <w:rsid w:val="002B23EC"/>
    <w:rsid w:val="002B36F7"/>
    <w:rsid w:val="002B46C3"/>
    <w:rsid w:val="002B6F2E"/>
    <w:rsid w:val="002D04E6"/>
    <w:rsid w:val="002E3B75"/>
    <w:rsid w:val="002E5470"/>
    <w:rsid w:val="002F7101"/>
    <w:rsid w:val="00306B52"/>
    <w:rsid w:val="00311F03"/>
    <w:rsid w:val="0031637E"/>
    <w:rsid w:val="00323D7D"/>
    <w:rsid w:val="00325455"/>
    <w:rsid w:val="0033764D"/>
    <w:rsid w:val="00343F5F"/>
    <w:rsid w:val="0037667D"/>
    <w:rsid w:val="00390BCE"/>
    <w:rsid w:val="00390D33"/>
    <w:rsid w:val="00392F7A"/>
    <w:rsid w:val="00394A68"/>
    <w:rsid w:val="003966E6"/>
    <w:rsid w:val="00396C47"/>
    <w:rsid w:val="003A12D2"/>
    <w:rsid w:val="003B183F"/>
    <w:rsid w:val="003B564E"/>
    <w:rsid w:val="003C140F"/>
    <w:rsid w:val="003C28E7"/>
    <w:rsid w:val="003D4B3C"/>
    <w:rsid w:val="003D6717"/>
    <w:rsid w:val="003D727D"/>
    <w:rsid w:val="003E061D"/>
    <w:rsid w:val="003E204D"/>
    <w:rsid w:val="003E6585"/>
    <w:rsid w:val="003F3E6E"/>
    <w:rsid w:val="003F689F"/>
    <w:rsid w:val="00405AD0"/>
    <w:rsid w:val="004072CD"/>
    <w:rsid w:val="00422ED4"/>
    <w:rsid w:val="00445F64"/>
    <w:rsid w:val="0045204D"/>
    <w:rsid w:val="00455762"/>
    <w:rsid w:val="00456AD0"/>
    <w:rsid w:val="00462EDE"/>
    <w:rsid w:val="004634B6"/>
    <w:rsid w:val="00467539"/>
    <w:rsid w:val="004716B0"/>
    <w:rsid w:val="00490C21"/>
    <w:rsid w:val="00490F93"/>
    <w:rsid w:val="00491A3D"/>
    <w:rsid w:val="00491C9C"/>
    <w:rsid w:val="0049398D"/>
    <w:rsid w:val="00493BC8"/>
    <w:rsid w:val="00494E63"/>
    <w:rsid w:val="004959C1"/>
    <w:rsid w:val="004A52A6"/>
    <w:rsid w:val="004B03EC"/>
    <w:rsid w:val="004B1CED"/>
    <w:rsid w:val="004B1CEE"/>
    <w:rsid w:val="004B4A20"/>
    <w:rsid w:val="004C0A55"/>
    <w:rsid w:val="004C20B5"/>
    <w:rsid w:val="004D23D4"/>
    <w:rsid w:val="004D4B4F"/>
    <w:rsid w:val="004E02A9"/>
    <w:rsid w:val="004E4AE5"/>
    <w:rsid w:val="004E6176"/>
    <w:rsid w:val="004F129C"/>
    <w:rsid w:val="004F31B4"/>
    <w:rsid w:val="00502BD7"/>
    <w:rsid w:val="00506411"/>
    <w:rsid w:val="0051334E"/>
    <w:rsid w:val="0052249A"/>
    <w:rsid w:val="005224D9"/>
    <w:rsid w:val="005226D5"/>
    <w:rsid w:val="005316A2"/>
    <w:rsid w:val="00545052"/>
    <w:rsid w:val="0054508C"/>
    <w:rsid w:val="0055007B"/>
    <w:rsid w:val="00553717"/>
    <w:rsid w:val="00553AD0"/>
    <w:rsid w:val="00554FE4"/>
    <w:rsid w:val="005565F4"/>
    <w:rsid w:val="00560DDC"/>
    <w:rsid w:val="00560DFC"/>
    <w:rsid w:val="0056695A"/>
    <w:rsid w:val="005733A8"/>
    <w:rsid w:val="00573CC6"/>
    <w:rsid w:val="00580642"/>
    <w:rsid w:val="00580714"/>
    <w:rsid w:val="00584202"/>
    <w:rsid w:val="005844CF"/>
    <w:rsid w:val="0059490B"/>
    <w:rsid w:val="005972B4"/>
    <w:rsid w:val="005A1638"/>
    <w:rsid w:val="005A1CEB"/>
    <w:rsid w:val="005A587E"/>
    <w:rsid w:val="005A6F12"/>
    <w:rsid w:val="005B5E4F"/>
    <w:rsid w:val="005C00ED"/>
    <w:rsid w:val="005C6F2C"/>
    <w:rsid w:val="005C7503"/>
    <w:rsid w:val="005C7B50"/>
    <w:rsid w:val="005D053F"/>
    <w:rsid w:val="005D089B"/>
    <w:rsid w:val="005D20F0"/>
    <w:rsid w:val="005D39CD"/>
    <w:rsid w:val="005D569D"/>
    <w:rsid w:val="005E13E5"/>
    <w:rsid w:val="005E2EA5"/>
    <w:rsid w:val="005F0C36"/>
    <w:rsid w:val="005F4769"/>
    <w:rsid w:val="00601D1D"/>
    <w:rsid w:val="00603CF5"/>
    <w:rsid w:val="00610BF7"/>
    <w:rsid w:val="00611271"/>
    <w:rsid w:val="0061218D"/>
    <w:rsid w:val="006136E2"/>
    <w:rsid w:val="0061589D"/>
    <w:rsid w:val="006230E6"/>
    <w:rsid w:val="006260C5"/>
    <w:rsid w:val="00626B00"/>
    <w:rsid w:val="00630D83"/>
    <w:rsid w:val="0063371C"/>
    <w:rsid w:val="0063426D"/>
    <w:rsid w:val="00637D56"/>
    <w:rsid w:val="00641053"/>
    <w:rsid w:val="0065085E"/>
    <w:rsid w:val="0066385F"/>
    <w:rsid w:val="00663894"/>
    <w:rsid w:val="00665364"/>
    <w:rsid w:val="00680C97"/>
    <w:rsid w:val="00682F1B"/>
    <w:rsid w:val="006832FE"/>
    <w:rsid w:val="00683D26"/>
    <w:rsid w:val="006A1B4C"/>
    <w:rsid w:val="006A33A0"/>
    <w:rsid w:val="006B5EEB"/>
    <w:rsid w:val="006C0B6E"/>
    <w:rsid w:val="006C22E7"/>
    <w:rsid w:val="006C2B32"/>
    <w:rsid w:val="006C30E7"/>
    <w:rsid w:val="006C5C53"/>
    <w:rsid w:val="006D272D"/>
    <w:rsid w:val="006D3CEC"/>
    <w:rsid w:val="006D3D39"/>
    <w:rsid w:val="006E0C7F"/>
    <w:rsid w:val="006E0EE8"/>
    <w:rsid w:val="006E5184"/>
    <w:rsid w:val="006E6886"/>
    <w:rsid w:val="006F26F5"/>
    <w:rsid w:val="006F7450"/>
    <w:rsid w:val="007030F1"/>
    <w:rsid w:val="00705C4C"/>
    <w:rsid w:val="007142BA"/>
    <w:rsid w:val="007240A7"/>
    <w:rsid w:val="00725C03"/>
    <w:rsid w:val="007275AF"/>
    <w:rsid w:val="0073108E"/>
    <w:rsid w:val="007366BD"/>
    <w:rsid w:val="00736D7B"/>
    <w:rsid w:val="00752E05"/>
    <w:rsid w:val="00754508"/>
    <w:rsid w:val="00762CB3"/>
    <w:rsid w:val="00765FC5"/>
    <w:rsid w:val="00782EA2"/>
    <w:rsid w:val="00783A23"/>
    <w:rsid w:val="00783C72"/>
    <w:rsid w:val="00793110"/>
    <w:rsid w:val="00795CE1"/>
    <w:rsid w:val="007A1CC3"/>
    <w:rsid w:val="007A21F3"/>
    <w:rsid w:val="007A4635"/>
    <w:rsid w:val="007B3CD2"/>
    <w:rsid w:val="007B5587"/>
    <w:rsid w:val="007B69C5"/>
    <w:rsid w:val="007B6F39"/>
    <w:rsid w:val="007C64E5"/>
    <w:rsid w:val="007D173B"/>
    <w:rsid w:val="007E00C2"/>
    <w:rsid w:val="007E11A5"/>
    <w:rsid w:val="007E3643"/>
    <w:rsid w:val="007F12BF"/>
    <w:rsid w:val="00800B61"/>
    <w:rsid w:val="0082054A"/>
    <w:rsid w:val="008219D4"/>
    <w:rsid w:val="0082557E"/>
    <w:rsid w:val="00833F1A"/>
    <w:rsid w:val="00854C89"/>
    <w:rsid w:val="00861D8D"/>
    <w:rsid w:val="0086629C"/>
    <w:rsid w:val="00867B73"/>
    <w:rsid w:val="008702B6"/>
    <w:rsid w:val="00871577"/>
    <w:rsid w:val="0087639A"/>
    <w:rsid w:val="00876B1B"/>
    <w:rsid w:val="00884251"/>
    <w:rsid w:val="0088528D"/>
    <w:rsid w:val="00885E5F"/>
    <w:rsid w:val="008970EC"/>
    <w:rsid w:val="008A6175"/>
    <w:rsid w:val="008C6B6C"/>
    <w:rsid w:val="008D5420"/>
    <w:rsid w:val="008E22D8"/>
    <w:rsid w:val="008E5347"/>
    <w:rsid w:val="008F2844"/>
    <w:rsid w:val="008F45D7"/>
    <w:rsid w:val="008F5D3A"/>
    <w:rsid w:val="00910183"/>
    <w:rsid w:val="0091050D"/>
    <w:rsid w:val="00911E4D"/>
    <w:rsid w:val="0091723E"/>
    <w:rsid w:val="009256D5"/>
    <w:rsid w:val="009434CE"/>
    <w:rsid w:val="00944F66"/>
    <w:rsid w:val="009467FB"/>
    <w:rsid w:val="00952BA6"/>
    <w:rsid w:val="009535FC"/>
    <w:rsid w:val="0095402B"/>
    <w:rsid w:val="009656BA"/>
    <w:rsid w:val="009738B5"/>
    <w:rsid w:val="009857EA"/>
    <w:rsid w:val="00990464"/>
    <w:rsid w:val="00993298"/>
    <w:rsid w:val="009B06A0"/>
    <w:rsid w:val="009B194B"/>
    <w:rsid w:val="009B379E"/>
    <w:rsid w:val="009C0CF6"/>
    <w:rsid w:val="009D0E54"/>
    <w:rsid w:val="009E2456"/>
    <w:rsid w:val="009E30A5"/>
    <w:rsid w:val="009E428B"/>
    <w:rsid w:val="009E714C"/>
    <w:rsid w:val="009F0576"/>
    <w:rsid w:val="009F1A2A"/>
    <w:rsid w:val="009F542F"/>
    <w:rsid w:val="009F70EC"/>
    <w:rsid w:val="00A06911"/>
    <w:rsid w:val="00A1188C"/>
    <w:rsid w:val="00A11DA2"/>
    <w:rsid w:val="00A20FA8"/>
    <w:rsid w:val="00A22F83"/>
    <w:rsid w:val="00A3539A"/>
    <w:rsid w:val="00A37995"/>
    <w:rsid w:val="00A500D4"/>
    <w:rsid w:val="00A50F4A"/>
    <w:rsid w:val="00A52275"/>
    <w:rsid w:val="00A564C6"/>
    <w:rsid w:val="00A56B9C"/>
    <w:rsid w:val="00A61112"/>
    <w:rsid w:val="00A75A45"/>
    <w:rsid w:val="00A80F68"/>
    <w:rsid w:val="00A92993"/>
    <w:rsid w:val="00AA30A8"/>
    <w:rsid w:val="00AA590F"/>
    <w:rsid w:val="00AA5CC2"/>
    <w:rsid w:val="00AA7897"/>
    <w:rsid w:val="00AC22EF"/>
    <w:rsid w:val="00AE6DA9"/>
    <w:rsid w:val="00AF01E2"/>
    <w:rsid w:val="00AF028D"/>
    <w:rsid w:val="00AF38DB"/>
    <w:rsid w:val="00AF4ACE"/>
    <w:rsid w:val="00AF4AE0"/>
    <w:rsid w:val="00B06D8F"/>
    <w:rsid w:val="00B11253"/>
    <w:rsid w:val="00B32962"/>
    <w:rsid w:val="00B3443E"/>
    <w:rsid w:val="00B3507A"/>
    <w:rsid w:val="00B60280"/>
    <w:rsid w:val="00B668AC"/>
    <w:rsid w:val="00B80A0D"/>
    <w:rsid w:val="00B9721F"/>
    <w:rsid w:val="00BA7986"/>
    <w:rsid w:val="00BB5636"/>
    <w:rsid w:val="00BB7A81"/>
    <w:rsid w:val="00BD41F2"/>
    <w:rsid w:val="00BD4E33"/>
    <w:rsid w:val="00BE03C3"/>
    <w:rsid w:val="00BE2F58"/>
    <w:rsid w:val="00BE5683"/>
    <w:rsid w:val="00C148DE"/>
    <w:rsid w:val="00C25FDA"/>
    <w:rsid w:val="00C31C73"/>
    <w:rsid w:val="00C37295"/>
    <w:rsid w:val="00C44429"/>
    <w:rsid w:val="00C45B9C"/>
    <w:rsid w:val="00C50B97"/>
    <w:rsid w:val="00C53F88"/>
    <w:rsid w:val="00C6355A"/>
    <w:rsid w:val="00C82170"/>
    <w:rsid w:val="00C86CE9"/>
    <w:rsid w:val="00CA1385"/>
    <w:rsid w:val="00CA5217"/>
    <w:rsid w:val="00CB1237"/>
    <w:rsid w:val="00CB2D2E"/>
    <w:rsid w:val="00CB430F"/>
    <w:rsid w:val="00CC4955"/>
    <w:rsid w:val="00CC5143"/>
    <w:rsid w:val="00CC5C90"/>
    <w:rsid w:val="00CC5D6B"/>
    <w:rsid w:val="00CC68F4"/>
    <w:rsid w:val="00CD48F2"/>
    <w:rsid w:val="00CD5B5C"/>
    <w:rsid w:val="00CD5E4B"/>
    <w:rsid w:val="00CD6EC3"/>
    <w:rsid w:val="00CE128B"/>
    <w:rsid w:val="00CF567E"/>
    <w:rsid w:val="00D1094A"/>
    <w:rsid w:val="00D337D5"/>
    <w:rsid w:val="00D3695A"/>
    <w:rsid w:val="00D44BC3"/>
    <w:rsid w:val="00D46E5F"/>
    <w:rsid w:val="00D51D68"/>
    <w:rsid w:val="00D52EBE"/>
    <w:rsid w:val="00D55464"/>
    <w:rsid w:val="00D61465"/>
    <w:rsid w:val="00D66B14"/>
    <w:rsid w:val="00D70309"/>
    <w:rsid w:val="00D74BA2"/>
    <w:rsid w:val="00D815F1"/>
    <w:rsid w:val="00D953EB"/>
    <w:rsid w:val="00D97E25"/>
    <w:rsid w:val="00DA0435"/>
    <w:rsid w:val="00DA3523"/>
    <w:rsid w:val="00DC2E8C"/>
    <w:rsid w:val="00DC3F5B"/>
    <w:rsid w:val="00DC537A"/>
    <w:rsid w:val="00DC65C4"/>
    <w:rsid w:val="00DC7A0A"/>
    <w:rsid w:val="00DD1545"/>
    <w:rsid w:val="00DD50BE"/>
    <w:rsid w:val="00DE6074"/>
    <w:rsid w:val="00DF0ABB"/>
    <w:rsid w:val="00DF3F2E"/>
    <w:rsid w:val="00DF5BB0"/>
    <w:rsid w:val="00E05D00"/>
    <w:rsid w:val="00E2087B"/>
    <w:rsid w:val="00E23322"/>
    <w:rsid w:val="00E25323"/>
    <w:rsid w:val="00E32264"/>
    <w:rsid w:val="00E32285"/>
    <w:rsid w:val="00E36809"/>
    <w:rsid w:val="00E53D58"/>
    <w:rsid w:val="00E553B3"/>
    <w:rsid w:val="00E71EB6"/>
    <w:rsid w:val="00E744A0"/>
    <w:rsid w:val="00E75C39"/>
    <w:rsid w:val="00E80FAF"/>
    <w:rsid w:val="00E96361"/>
    <w:rsid w:val="00EB02C1"/>
    <w:rsid w:val="00ED0FD7"/>
    <w:rsid w:val="00ED330E"/>
    <w:rsid w:val="00ED75E2"/>
    <w:rsid w:val="00ED76F6"/>
    <w:rsid w:val="00ED79DF"/>
    <w:rsid w:val="00EE08F1"/>
    <w:rsid w:val="00EE40B7"/>
    <w:rsid w:val="00EF16AE"/>
    <w:rsid w:val="00EF2B11"/>
    <w:rsid w:val="00EF3B7B"/>
    <w:rsid w:val="00EF3DF2"/>
    <w:rsid w:val="00EF5A13"/>
    <w:rsid w:val="00F07330"/>
    <w:rsid w:val="00F102A7"/>
    <w:rsid w:val="00F10BDB"/>
    <w:rsid w:val="00F13D79"/>
    <w:rsid w:val="00F148DD"/>
    <w:rsid w:val="00F159DF"/>
    <w:rsid w:val="00F20A2C"/>
    <w:rsid w:val="00F20FE8"/>
    <w:rsid w:val="00F21D1E"/>
    <w:rsid w:val="00F22739"/>
    <w:rsid w:val="00F31D67"/>
    <w:rsid w:val="00F33851"/>
    <w:rsid w:val="00F40CE0"/>
    <w:rsid w:val="00F46E66"/>
    <w:rsid w:val="00F637E6"/>
    <w:rsid w:val="00F65E38"/>
    <w:rsid w:val="00F83F5B"/>
    <w:rsid w:val="00F84407"/>
    <w:rsid w:val="00F91C33"/>
    <w:rsid w:val="00F92C7E"/>
    <w:rsid w:val="00F93895"/>
    <w:rsid w:val="00F97004"/>
    <w:rsid w:val="00FA0A85"/>
    <w:rsid w:val="00FA38AE"/>
    <w:rsid w:val="00FA4933"/>
    <w:rsid w:val="00FB18C4"/>
    <w:rsid w:val="00FC1ACD"/>
    <w:rsid w:val="00FC1EC2"/>
    <w:rsid w:val="00FC5C9D"/>
    <w:rsid w:val="00FC5FA3"/>
    <w:rsid w:val="00FE46C5"/>
    <w:rsid w:val="00FF273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colormru v:ext="edit" colors="#00775b"/>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rsid w:val="00BE2F58"/>
    <w:pPr>
      <w:spacing w:after="160" w:line="240" w:lineRule="atLeast"/>
    </w:pPr>
    <w:rPr>
      <w:rFonts w:ascii="Arial" w:hAnsi="Arial"/>
      <w:szCs w:val="24"/>
      <w:lang w:val="en-AU" w:eastAsia="en-US"/>
    </w:rPr>
  </w:style>
  <w:style w:type="paragraph" w:styleId="Heading1">
    <w:name w:val="heading 1"/>
    <w:basedOn w:val="Normal"/>
    <w:next w:val="Normal"/>
    <w:qFormat/>
    <w:rsid w:val="000C71BD"/>
    <w:pPr>
      <w:outlineLvl w:val="0"/>
    </w:pPr>
    <w:rPr>
      <w:rFonts w:ascii="Times New Roman" w:hAnsi="Times New Roman"/>
      <w:b/>
      <w:sz w:val="24"/>
    </w:rPr>
  </w:style>
  <w:style w:type="paragraph" w:styleId="Heading2">
    <w:name w:val="heading 2"/>
    <w:basedOn w:val="Normal"/>
    <w:next w:val="Normal"/>
    <w:qFormat/>
    <w:rsid w:val="000C71BD"/>
    <w:pPr>
      <w:outlineLvl w:val="1"/>
    </w:pPr>
    <w:rPr>
      <w:rFonts w:ascii="Times New Roman"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32FE"/>
    <w:pPr>
      <w:tabs>
        <w:tab w:val="center" w:pos="4153"/>
        <w:tab w:val="right" w:pos="8306"/>
      </w:tabs>
      <w:spacing w:after="0"/>
    </w:pPr>
    <w:rPr>
      <w:b/>
      <w:caps/>
      <w:color w:val="00755C"/>
      <w:sz w:val="24"/>
      <w:szCs w:val="22"/>
    </w:rPr>
  </w:style>
  <w:style w:type="paragraph" w:styleId="Footer">
    <w:name w:val="footer"/>
    <w:basedOn w:val="Normal"/>
    <w:rsid w:val="00553717"/>
    <w:pPr>
      <w:tabs>
        <w:tab w:val="center" w:pos="4153"/>
        <w:tab w:val="right" w:pos="8306"/>
      </w:tabs>
      <w:spacing w:after="0" w:line="140" w:lineRule="atLeast"/>
      <w:jc w:val="center"/>
    </w:pPr>
    <w:rPr>
      <w:sz w:val="16"/>
      <w:szCs w:val="12"/>
    </w:rPr>
  </w:style>
  <w:style w:type="table" w:styleId="TableGrid">
    <w:name w:val="Table Grid"/>
    <w:basedOn w:val="TableNormal"/>
    <w:rsid w:val="00CC5C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emoDetailsTable">
    <w:name w:val="Memo Details Table"/>
    <w:basedOn w:val="Normal"/>
    <w:rsid w:val="00762CB3"/>
    <w:pPr>
      <w:spacing w:after="0" w:line="220" w:lineRule="atLeast"/>
    </w:pPr>
    <w:rPr>
      <w:b/>
      <w:caps/>
      <w:szCs w:val="20"/>
    </w:rPr>
  </w:style>
  <w:style w:type="paragraph" w:customStyle="1" w:styleId="Heading1Italic">
    <w:name w:val="Heading 1 (Italic)"/>
    <w:basedOn w:val="Heading1Normal"/>
    <w:next w:val="Normal"/>
    <w:rsid w:val="00C148DE"/>
    <w:rPr>
      <w:i/>
    </w:rPr>
  </w:style>
  <w:style w:type="paragraph" w:customStyle="1" w:styleId="FaxFooter">
    <w:name w:val="Fax Footer"/>
    <w:basedOn w:val="Footer"/>
    <w:rsid w:val="007142BA"/>
    <w:pPr>
      <w:spacing w:before="60"/>
    </w:pPr>
    <w:rPr>
      <w:b/>
    </w:rPr>
  </w:style>
  <w:style w:type="paragraph" w:customStyle="1" w:styleId="Reference">
    <w:name w:val="Reference"/>
    <w:basedOn w:val="Normal"/>
    <w:next w:val="Normal"/>
    <w:rsid w:val="00762CB3"/>
    <w:pPr>
      <w:spacing w:after="0"/>
    </w:pPr>
    <w:rPr>
      <w:b/>
      <w:caps/>
      <w:szCs w:val="20"/>
    </w:rPr>
  </w:style>
  <w:style w:type="paragraph" w:customStyle="1" w:styleId="TableStandardText">
    <w:name w:val="Table Standard Text"/>
    <w:basedOn w:val="Normal"/>
    <w:rsid w:val="005D053F"/>
    <w:pPr>
      <w:spacing w:after="0" w:line="220" w:lineRule="atLeast"/>
    </w:pPr>
  </w:style>
  <w:style w:type="paragraph" w:customStyle="1" w:styleId="Bullets">
    <w:name w:val="Bullets"/>
    <w:basedOn w:val="Normal"/>
    <w:link w:val="BulletsChar"/>
    <w:rsid w:val="00F22739"/>
    <w:pPr>
      <w:numPr>
        <w:numId w:val="8"/>
      </w:numPr>
      <w:spacing w:line="280" w:lineRule="exact"/>
    </w:pPr>
  </w:style>
  <w:style w:type="table" w:customStyle="1" w:styleId="GATableStyle">
    <w:name w:val="GA Table Style"/>
    <w:basedOn w:val="TableContemporary"/>
    <w:rsid w:val="00D61465"/>
    <w:pPr>
      <w:spacing w:after="100" w:afterAutospacing="1"/>
      <w:contextualSpacing/>
    </w:pPr>
    <w:tblPr>
      <w:tblStyleRowBandSize w:val="1"/>
      <w:tblInd w:w="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Contemporary">
    <w:name w:val="Table Contemporary"/>
    <w:basedOn w:val="TableNormal"/>
    <w:rsid w:val="00D1094A"/>
    <w:pPr>
      <w:spacing w:line="280" w:lineRule="atLeast"/>
    </w:pPr>
    <w:rPr>
      <w:rFonts w:ascii="Arial" w:hAnsi="Arial"/>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IndentedText">
    <w:name w:val="Indented Text"/>
    <w:basedOn w:val="Normal"/>
    <w:rsid w:val="00E71EB6"/>
    <w:pPr>
      <w:spacing w:line="280" w:lineRule="exact"/>
      <w:ind w:left="454"/>
    </w:pPr>
  </w:style>
  <w:style w:type="paragraph" w:customStyle="1" w:styleId="NumberedList">
    <w:name w:val="Numbered List"/>
    <w:basedOn w:val="Normal"/>
    <w:rsid w:val="00F22739"/>
    <w:pPr>
      <w:numPr>
        <w:numId w:val="9"/>
      </w:numPr>
      <w:tabs>
        <w:tab w:val="left" w:pos="4536"/>
      </w:tabs>
      <w:spacing w:line="280" w:lineRule="exact"/>
    </w:pPr>
  </w:style>
  <w:style w:type="paragraph" w:customStyle="1" w:styleId="RomanNumbered">
    <w:name w:val="Roman Numbered"/>
    <w:basedOn w:val="Smallletters"/>
    <w:rsid w:val="00F22739"/>
    <w:pPr>
      <w:numPr>
        <w:numId w:val="11"/>
      </w:numPr>
      <w:tabs>
        <w:tab w:val="left" w:pos="454"/>
      </w:tabs>
    </w:pPr>
  </w:style>
  <w:style w:type="paragraph" w:customStyle="1" w:styleId="Smallletters">
    <w:name w:val="Small letters"/>
    <w:basedOn w:val="Normal"/>
    <w:rsid w:val="00F22739"/>
    <w:pPr>
      <w:numPr>
        <w:numId w:val="10"/>
      </w:numPr>
      <w:tabs>
        <w:tab w:val="left" w:pos="454"/>
      </w:tabs>
      <w:spacing w:line="280" w:lineRule="exact"/>
    </w:pPr>
  </w:style>
  <w:style w:type="paragraph" w:customStyle="1" w:styleId="SmallTextBold">
    <w:name w:val="Small Text Bold"/>
    <w:basedOn w:val="Normal"/>
    <w:rsid w:val="002F7101"/>
    <w:pPr>
      <w:spacing w:after="0"/>
    </w:pPr>
    <w:rPr>
      <w:b/>
      <w:sz w:val="18"/>
      <w:szCs w:val="18"/>
    </w:rPr>
  </w:style>
  <w:style w:type="paragraph" w:customStyle="1" w:styleId="SmallTextNormal">
    <w:name w:val="Small Text Normal"/>
    <w:basedOn w:val="Normal"/>
    <w:rsid w:val="002F7101"/>
    <w:pPr>
      <w:spacing w:after="0"/>
    </w:pPr>
    <w:rPr>
      <w:sz w:val="18"/>
      <w:szCs w:val="18"/>
    </w:rPr>
  </w:style>
  <w:style w:type="paragraph" w:customStyle="1" w:styleId="Heading2Italic">
    <w:name w:val="Heading 2 (Italic)"/>
    <w:basedOn w:val="Heading2Normal"/>
    <w:next w:val="Normal"/>
    <w:rsid w:val="00C148DE"/>
    <w:rPr>
      <w:i/>
    </w:rPr>
  </w:style>
  <w:style w:type="paragraph" w:customStyle="1" w:styleId="FilePatheText">
    <w:name w:val="File Pathe Text"/>
    <w:basedOn w:val="Normal"/>
    <w:rsid w:val="0086629C"/>
    <w:rPr>
      <w:sz w:val="12"/>
      <w:szCs w:val="12"/>
    </w:rPr>
  </w:style>
  <w:style w:type="paragraph" w:customStyle="1" w:styleId="GANumberedHeading1">
    <w:name w:val="GA Numbered Heading 1"/>
    <w:basedOn w:val="Normal"/>
    <w:next w:val="Normal"/>
    <w:rsid w:val="00C148DE"/>
    <w:pPr>
      <w:keepNext/>
      <w:numPr>
        <w:numId w:val="18"/>
      </w:numPr>
      <w:tabs>
        <w:tab w:val="left" w:pos="794"/>
      </w:tabs>
      <w:spacing w:after="80"/>
      <w:outlineLvl w:val="0"/>
    </w:pPr>
    <w:rPr>
      <w:b/>
      <w:caps/>
      <w:sz w:val="24"/>
    </w:rPr>
  </w:style>
  <w:style w:type="paragraph" w:customStyle="1" w:styleId="GANumberedHeading2">
    <w:name w:val="GA Numbered Heading 2"/>
    <w:basedOn w:val="Normal"/>
    <w:next w:val="Normal"/>
    <w:rsid w:val="00C148DE"/>
    <w:pPr>
      <w:keepNext/>
      <w:numPr>
        <w:ilvl w:val="1"/>
        <w:numId w:val="18"/>
      </w:numPr>
      <w:tabs>
        <w:tab w:val="left" w:pos="907"/>
      </w:tabs>
      <w:spacing w:after="80"/>
      <w:outlineLvl w:val="1"/>
    </w:pPr>
    <w:rPr>
      <w:b/>
      <w:sz w:val="24"/>
    </w:rPr>
  </w:style>
  <w:style w:type="paragraph" w:customStyle="1" w:styleId="GANumberedHeading3">
    <w:name w:val="GA Numbered Heading 3"/>
    <w:basedOn w:val="Normal"/>
    <w:next w:val="Normal"/>
    <w:rsid w:val="00C148DE"/>
    <w:pPr>
      <w:keepNext/>
      <w:numPr>
        <w:ilvl w:val="2"/>
        <w:numId w:val="18"/>
      </w:numPr>
      <w:tabs>
        <w:tab w:val="left" w:pos="1021"/>
      </w:tabs>
      <w:spacing w:after="80"/>
      <w:outlineLvl w:val="2"/>
    </w:pPr>
    <w:rPr>
      <w:b/>
      <w:sz w:val="22"/>
      <w:szCs w:val="22"/>
    </w:rPr>
  </w:style>
  <w:style w:type="paragraph" w:customStyle="1" w:styleId="GANumberedHeading4">
    <w:name w:val="GA Numbered Heading 4"/>
    <w:basedOn w:val="Normal"/>
    <w:next w:val="Normal"/>
    <w:rsid w:val="00C148DE"/>
    <w:pPr>
      <w:keepNext/>
      <w:numPr>
        <w:ilvl w:val="3"/>
        <w:numId w:val="18"/>
      </w:numPr>
      <w:tabs>
        <w:tab w:val="left" w:pos="1247"/>
      </w:tabs>
      <w:spacing w:after="80"/>
      <w:outlineLvl w:val="3"/>
    </w:pPr>
    <w:rPr>
      <w:b/>
      <w:i/>
      <w:sz w:val="22"/>
    </w:rPr>
  </w:style>
  <w:style w:type="paragraph" w:customStyle="1" w:styleId="GANumberedHeading5">
    <w:name w:val="GA Numbered Heading 5"/>
    <w:basedOn w:val="Normal"/>
    <w:next w:val="Normal"/>
    <w:rsid w:val="00C148DE"/>
    <w:pPr>
      <w:keepNext/>
      <w:numPr>
        <w:ilvl w:val="4"/>
        <w:numId w:val="18"/>
      </w:numPr>
      <w:tabs>
        <w:tab w:val="left" w:pos="1418"/>
      </w:tabs>
      <w:spacing w:after="80"/>
      <w:outlineLvl w:val="4"/>
    </w:pPr>
    <w:rPr>
      <w:b/>
      <w:szCs w:val="22"/>
    </w:rPr>
  </w:style>
  <w:style w:type="paragraph" w:customStyle="1" w:styleId="GANumberedHeading6">
    <w:name w:val="GA Numbered Heading 6"/>
    <w:basedOn w:val="Normal"/>
    <w:next w:val="Normal"/>
    <w:rsid w:val="00C148DE"/>
    <w:pPr>
      <w:keepNext/>
      <w:numPr>
        <w:ilvl w:val="5"/>
        <w:numId w:val="18"/>
      </w:numPr>
      <w:tabs>
        <w:tab w:val="left" w:pos="1588"/>
      </w:tabs>
      <w:spacing w:after="80"/>
      <w:outlineLvl w:val="5"/>
    </w:pPr>
    <w:rPr>
      <w:b/>
      <w:i/>
      <w:szCs w:val="22"/>
    </w:rPr>
  </w:style>
  <w:style w:type="paragraph" w:customStyle="1" w:styleId="GAcaption">
    <w:name w:val="GA caption"/>
    <w:basedOn w:val="Caption"/>
    <w:next w:val="Normal"/>
    <w:rsid w:val="007B69C5"/>
    <w:pPr>
      <w:spacing w:before="0" w:after="0" w:line="200" w:lineRule="atLeast"/>
    </w:pPr>
  </w:style>
  <w:style w:type="paragraph" w:styleId="Caption">
    <w:name w:val="caption"/>
    <w:basedOn w:val="Normal"/>
    <w:next w:val="Normal"/>
    <w:qFormat/>
    <w:rsid w:val="0095402B"/>
    <w:pPr>
      <w:spacing w:before="120"/>
    </w:pPr>
    <w:rPr>
      <w:b/>
      <w:bCs/>
      <w:szCs w:val="20"/>
    </w:rPr>
  </w:style>
  <w:style w:type="paragraph" w:customStyle="1" w:styleId="Distribution">
    <w:name w:val="Distribution"/>
    <w:basedOn w:val="Normal"/>
    <w:next w:val="Normal"/>
    <w:rsid w:val="00132C3F"/>
    <w:pPr>
      <w:spacing w:after="0"/>
    </w:pPr>
    <w:rPr>
      <w:b/>
      <w:bCs/>
      <w:szCs w:val="20"/>
    </w:rPr>
  </w:style>
  <w:style w:type="paragraph" w:customStyle="1" w:styleId="Heading1Normal">
    <w:name w:val="Heading 1 Normal"/>
    <w:basedOn w:val="Normal"/>
    <w:next w:val="Normal"/>
    <w:rsid w:val="001047F3"/>
    <w:pPr>
      <w:keepNext/>
      <w:spacing w:after="80"/>
      <w:outlineLvl w:val="0"/>
    </w:pPr>
    <w:rPr>
      <w:b/>
      <w:sz w:val="24"/>
      <w:szCs w:val="22"/>
    </w:rPr>
  </w:style>
  <w:style w:type="paragraph" w:customStyle="1" w:styleId="Heading2Normal">
    <w:name w:val="Heading 2 Normal"/>
    <w:basedOn w:val="Normal"/>
    <w:next w:val="Normal"/>
    <w:rsid w:val="001047F3"/>
    <w:pPr>
      <w:keepNext/>
      <w:spacing w:after="80"/>
      <w:outlineLvl w:val="1"/>
    </w:pPr>
    <w:rPr>
      <w:b/>
      <w:sz w:val="22"/>
      <w:szCs w:val="22"/>
    </w:rPr>
  </w:style>
  <w:style w:type="paragraph" w:customStyle="1" w:styleId="GAFigureCaption">
    <w:name w:val="GA Figure Caption"/>
    <w:basedOn w:val="Normal"/>
    <w:rsid w:val="00F84407"/>
    <w:rPr>
      <w:b/>
    </w:rPr>
  </w:style>
  <w:style w:type="paragraph" w:customStyle="1" w:styleId="CaptionFigures">
    <w:name w:val="Caption Figures"/>
    <w:basedOn w:val="Caption"/>
    <w:next w:val="Normal"/>
    <w:rsid w:val="00F84407"/>
    <w:pPr>
      <w:tabs>
        <w:tab w:val="left" w:pos="851"/>
      </w:tabs>
      <w:spacing w:before="0" w:after="200" w:line="240" w:lineRule="auto"/>
    </w:pPr>
    <w:rPr>
      <w:b w:val="0"/>
      <w:i/>
      <w:color w:val="00755C"/>
      <w:sz w:val="18"/>
      <w:szCs w:val="18"/>
    </w:rPr>
  </w:style>
  <w:style w:type="paragraph" w:customStyle="1" w:styleId="CaptionTables">
    <w:name w:val="Caption Tables"/>
    <w:basedOn w:val="Caption"/>
    <w:next w:val="Normal"/>
    <w:rsid w:val="002B6F2E"/>
    <w:pPr>
      <w:tabs>
        <w:tab w:val="left" w:pos="851"/>
      </w:tabs>
      <w:spacing w:before="0" w:after="0" w:line="240" w:lineRule="auto"/>
    </w:pPr>
    <w:rPr>
      <w:szCs w:val="22"/>
    </w:rPr>
  </w:style>
  <w:style w:type="paragraph" w:styleId="FootnoteText">
    <w:name w:val="footnote text"/>
    <w:basedOn w:val="Normal"/>
    <w:rsid w:val="001047F3"/>
    <w:pPr>
      <w:spacing w:after="80" w:line="240" w:lineRule="auto"/>
    </w:pPr>
    <w:rPr>
      <w:sz w:val="12"/>
      <w:szCs w:val="20"/>
    </w:rPr>
  </w:style>
  <w:style w:type="paragraph" w:styleId="BalloonText">
    <w:name w:val="Balloon Text"/>
    <w:basedOn w:val="Normal"/>
    <w:link w:val="BalloonTextChar"/>
    <w:rsid w:val="006C5C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6C5C53"/>
    <w:rPr>
      <w:rFonts w:ascii="Tahoma" w:hAnsi="Tahoma" w:cs="Tahoma"/>
      <w:sz w:val="16"/>
      <w:szCs w:val="16"/>
      <w:lang w:val="hu-HU" w:eastAsia="en-US"/>
    </w:rPr>
  </w:style>
  <w:style w:type="paragraph" w:customStyle="1" w:styleId="TableHeaderRow">
    <w:name w:val="Table Header Row"/>
    <w:basedOn w:val="Normal"/>
    <w:rsid w:val="00AA30A8"/>
    <w:pPr>
      <w:spacing w:before="80" w:after="80" w:line="240" w:lineRule="auto"/>
    </w:pPr>
    <w:rPr>
      <w:b/>
    </w:rPr>
  </w:style>
  <w:style w:type="character" w:customStyle="1" w:styleId="BulletsChar">
    <w:name w:val="Bullets Char"/>
    <w:basedOn w:val="DefaultParagraphFont"/>
    <w:link w:val="Bullets"/>
    <w:rsid w:val="0061589D"/>
    <w:rPr>
      <w:rFonts w:ascii="Arial" w:hAnsi="Arial"/>
      <w:szCs w:val="24"/>
      <w:lang w:val="en-AU" w:eastAsia="en-US"/>
    </w:rPr>
  </w:style>
  <w:style w:type="character" w:styleId="CommentReference">
    <w:name w:val="annotation reference"/>
    <w:basedOn w:val="DefaultParagraphFont"/>
    <w:rsid w:val="00752E05"/>
    <w:rPr>
      <w:sz w:val="16"/>
      <w:szCs w:val="16"/>
    </w:rPr>
  </w:style>
  <w:style w:type="paragraph" w:styleId="CommentText">
    <w:name w:val="annotation text"/>
    <w:basedOn w:val="Normal"/>
    <w:link w:val="CommentTextChar"/>
    <w:rsid w:val="00752E05"/>
    <w:pPr>
      <w:spacing w:line="240" w:lineRule="auto"/>
    </w:pPr>
    <w:rPr>
      <w:szCs w:val="20"/>
    </w:rPr>
  </w:style>
  <w:style w:type="character" w:customStyle="1" w:styleId="CommentTextChar">
    <w:name w:val="Comment Text Char"/>
    <w:basedOn w:val="DefaultParagraphFont"/>
    <w:link w:val="CommentText"/>
    <w:rsid w:val="00752E05"/>
    <w:rPr>
      <w:rFonts w:ascii="Arial" w:hAnsi="Arial"/>
      <w:lang w:val="en-AU" w:eastAsia="en-US"/>
    </w:rPr>
  </w:style>
  <w:style w:type="paragraph" w:styleId="CommentSubject">
    <w:name w:val="annotation subject"/>
    <w:basedOn w:val="CommentText"/>
    <w:next w:val="CommentText"/>
    <w:link w:val="CommentSubjectChar"/>
    <w:rsid w:val="00752E05"/>
    <w:rPr>
      <w:b/>
      <w:bCs/>
    </w:rPr>
  </w:style>
  <w:style w:type="character" w:customStyle="1" w:styleId="CommentSubjectChar">
    <w:name w:val="Comment Subject Char"/>
    <w:basedOn w:val="CommentTextChar"/>
    <w:link w:val="CommentSubject"/>
    <w:rsid w:val="00752E05"/>
    <w:rPr>
      <w:rFonts w:ascii="Arial" w:hAnsi="Arial"/>
      <w:b/>
      <w:bCs/>
      <w:lang w:val="en-AU"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rsid w:val="00BE2F58"/>
    <w:pPr>
      <w:spacing w:after="160" w:line="240" w:lineRule="atLeast"/>
    </w:pPr>
    <w:rPr>
      <w:rFonts w:ascii="Arial" w:hAnsi="Arial"/>
      <w:szCs w:val="24"/>
      <w:lang w:val="en-AU" w:eastAsia="en-US"/>
    </w:rPr>
  </w:style>
  <w:style w:type="paragraph" w:styleId="Heading1">
    <w:name w:val="heading 1"/>
    <w:basedOn w:val="Normal"/>
    <w:next w:val="Normal"/>
    <w:qFormat/>
    <w:rsid w:val="000C71BD"/>
    <w:pPr>
      <w:outlineLvl w:val="0"/>
    </w:pPr>
    <w:rPr>
      <w:rFonts w:ascii="Times New Roman" w:hAnsi="Times New Roman"/>
      <w:b/>
      <w:sz w:val="24"/>
    </w:rPr>
  </w:style>
  <w:style w:type="paragraph" w:styleId="Heading2">
    <w:name w:val="heading 2"/>
    <w:basedOn w:val="Normal"/>
    <w:next w:val="Normal"/>
    <w:qFormat/>
    <w:rsid w:val="000C71BD"/>
    <w:pPr>
      <w:outlineLvl w:val="1"/>
    </w:pPr>
    <w:rPr>
      <w:rFonts w:ascii="Times New Roman"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32FE"/>
    <w:pPr>
      <w:tabs>
        <w:tab w:val="center" w:pos="4153"/>
        <w:tab w:val="right" w:pos="8306"/>
      </w:tabs>
      <w:spacing w:after="0"/>
    </w:pPr>
    <w:rPr>
      <w:b/>
      <w:caps/>
      <w:color w:val="00755C"/>
      <w:sz w:val="24"/>
      <w:szCs w:val="22"/>
    </w:rPr>
  </w:style>
  <w:style w:type="paragraph" w:styleId="Footer">
    <w:name w:val="footer"/>
    <w:basedOn w:val="Normal"/>
    <w:rsid w:val="00553717"/>
    <w:pPr>
      <w:tabs>
        <w:tab w:val="center" w:pos="4153"/>
        <w:tab w:val="right" w:pos="8306"/>
      </w:tabs>
      <w:spacing w:after="0" w:line="140" w:lineRule="atLeast"/>
      <w:jc w:val="center"/>
    </w:pPr>
    <w:rPr>
      <w:sz w:val="16"/>
      <w:szCs w:val="12"/>
    </w:rPr>
  </w:style>
  <w:style w:type="table" w:styleId="TableGrid">
    <w:name w:val="Table Grid"/>
    <w:basedOn w:val="TableNormal"/>
    <w:rsid w:val="00CC5C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emoDetailsTable">
    <w:name w:val="Memo Details Table"/>
    <w:basedOn w:val="Normal"/>
    <w:rsid w:val="00762CB3"/>
    <w:pPr>
      <w:spacing w:after="0" w:line="220" w:lineRule="atLeast"/>
    </w:pPr>
    <w:rPr>
      <w:b/>
      <w:caps/>
      <w:szCs w:val="20"/>
    </w:rPr>
  </w:style>
  <w:style w:type="paragraph" w:customStyle="1" w:styleId="Heading1Italic">
    <w:name w:val="Heading 1 (Italic)"/>
    <w:basedOn w:val="Heading1Normal"/>
    <w:next w:val="Normal"/>
    <w:rsid w:val="00C148DE"/>
    <w:rPr>
      <w:i/>
    </w:rPr>
  </w:style>
  <w:style w:type="paragraph" w:customStyle="1" w:styleId="FaxFooter">
    <w:name w:val="Fax Footer"/>
    <w:basedOn w:val="Footer"/>
    <w:rsid w:val="007142BA"/>
    <w:pPr>
      <w:spacing w:before="60"/>
    </w:pPr>
    <w:rPr>
      <w:b/>
    </w:rPr>
  </w:style>
  <w:style w:type="paragraph" w:customStyle="1" w:styleId="Reference">
    <w:name w:val="Reference"/>
    <w:basedOn w:val="Normal"/>
    <w:next w:val="Normal"/>
    <w:rsid w:val="00762CB3"/>
    <w:pPr>
      <w:spacing w:after="0"/>
    </w:pPr>
    <w:rPr>
      <w:b/>
      <w:caps/>
      <w:szCs w:val="20"/>
    </w:rPr>
  </w:style>
  <w:style w:type="paragraph" w:customStyle="1" w:styleId="TableStandardText">
    <w:name w:val="Table Standard Text"/>
    <w:basedOn w:val="Normal"/>
    <w:rsid w:val="005D053F"/>
    <w:pPr>
      <w:spacing w:after="0" w:line="220" w:lineRule="atLeast"/>
    </w:pPr>
  </w:style>
  <w:style w:type="paragraph" w:customStyle="1" w:styleId="Bullets">
    <w:name w:val="Bullets"/>
    <w:basedOn w:val="Normal"/>
    <w:link w:val="BulletsChar"/>
    <w:rsid w:val="00F22739"/>
    <w:pPr>
      <w:numPr>
        <w:numId w:val="8"/>
      </w:numPr>
      <w:spacing w:line="280" w:lineRule="exact"/>
    </w:pPr>
  </w:style>
  <w:style w:type="table" w:customStyle="1" w:styleId="GATableStyle">
    <w:name w:val="GA Table Style"/>
    <w:basedOn w:val="TableContemporary"/>
    <w:rsid w:val="00D61465"/>
    <w:pPr>
      <w:spacing w:after="100" w:afterAutospacing="1"/>
      <w:contextualSpacing/>
    </w:pPr>
    <w:tblPr>
      <w:tblStyleRowBandSize w:val="1"/>
      <w:tblInd w:w="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Contemporary">
    <w:name w:val="Table Contemporary"/>
    <w:basedOn w:val="TableNormal"/>
    <w:rsid w:val="00D1094A"/>
    <w:pPr>
      <w:spacing w:line="280" w:lineRule="atLeast"/>
    </w:pPr>
    <w:rPr>
      <w:rFonts w:ascii="Arial" w:hAnsi="Arial"/>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IndentedText">
    <w:name w:val="Indented Text"/>
    <w:basedOn w:val="Normal"/>
    <w:rsid w:val="00E71EB6"/>
    <w:pPr>
      <w:spacing w:line="280" w:lineRule="exact"/>
      <w:ind w:left="454"/>
    </w:pPr>
  </w:style>
  <w:style w:type="paragraph" w:customStyle="1" w:styleId="NumberedList">
    <w:name w:val="Numbered List"/>
    <w:basedOn w:val="Normal"/>
    <w:rsid w:val="00F22739"/>
    <w:pPr>
      <w:numPr>
        <w:numId w:val="9"/>
      </w:numPr>
      <w:tabs>
        <w:tab w:val="left" w:pos="4536"/>
      </w:tabs>
      <w:spacing w:line="280" w:lineRule="exact"/>
    </w:pPr>
  </w:style>
  <w:style w:type="paragraph" w:customStyle="1" w:styleId="RomanNumbered">
    <w:name w:val="Roman Numbered"/>
    <w:basedOn w:val="Smallletters"/>
    <w:rsid w:val="00F22739"/>
    <w:pPr>
      <w:numPr>
        <w:numId w:val="11"/>
      </w:numPr>
      <w:tabs>
        <w:tab w:val="left" w:pos="454"/>
      </w:tabs>
    </w:pPr>
  </w:style>
  <w:style w:type="paragraph" w:customStyle="1" w:styleId="Smallletters">
    <w:name w:val="Small letters"/>
    <w:basedOn w:val="Normal"/>
    <w:rsid w:val="00F22739"/>
    <w:pPr>
      <w:numPr>
        <w:numId w:val="10"/>
      </w:numPr>
      <w:tabs>
        <w:tab w:val="left" w:pos="454"/>
      </w:tabs>
      <w:spacing w:line="280" w:lineRule="exact"/>
    </w:pPr>
  </w:style>
  <w:style w:type="paragraph" w:customStyle="1" w:styleId="SmallTextBold">
    <w:name w:val="Small Text Bold"/>
    <w:basedOn w:val="Normal"/>
    <w:rsid w:val="002F7101"/>
    <w:pPr>
      <w:spacing w:after="0"/>
    </w:pPr>
    <w:rPr>
      <w:b/>
      <w:sz w:val="18"/>
      <w:szCs w:val="18"/>
    </w:rPr>
  </w:style>
  <w:style w:type="paragraph" w:customStyle="1" w:styleId="SmallTextNormal">
    <w:name w:val="Small Text Normal"/>
    <w:basedOn w:val="Normal"/>
    <w:rsid w:val="002F7101"/>
    <w:pPr>
      <w:spacing w:after="0"/>
    </w:pPr>
    <w:rPr>
      <w:sz w:val="18"/>
      <w:szCs w:val="18"/>
    </w:rPr>
  </w:style>
  <w:style w:type="paragraph" w:customStyle="1" w:styleId="Heading2Italic">
    <w:name w:val="Heading 2 (Italic)"/>
    <w:basedOn w:val="Heading2Normal"/>
    <w:next w:val="Normal"/>
    <w:rsid w:val="00C148DE"/>
    <w:rPr>
      <w:i/>
    </w:rPr>
  </w:style>
  <w:style w:type="paragraph" w:customStyle="1" w:styleId="FilePatheText">
    <w:name w:val="File Pathe Text"/>
    <w:basedOn w:val="Normal"/>
    <w:rsid w:val="0086629C"/>
    <w:rPr>
      <w:sz w:val="12"/>
      <w:szCs w:val="12"/>
    </w:rPr>
  </w:style>
  <w:style w:type="paragraph" w:customStyle="1" w:styleId="GANumberedHeading1">
    <w:name w:val="GA Numbered Heading 1"/>
    <w:basedOn w:val="Normal"/>
    <w:next w:val="Normal"/>
    <w:rsid w:val="00C148DE"/>
    <w:pPr>
      <w:keepNext/>
      <w:numPr>
        <w:numId w:val="18"/>
      </w:numPr>
      <w:tabs>
        <w:tab w:val="left" w:pos="794"/>
      </w:tabs>
      <w:spacing w:after="80"/>
      <w:outlineLvl w:val="0"/>
    </w:pPr>
    <w:rPr>
      <w:b/>
      <w:caps/>
      <w:sz w:val="24"/>
    </w:rPr>
  </w:style>
  <w:style w:type="paragraph" w:customStyle="1" w:styleId="GANumberedHeading2">
    <w:name w:val="GA Numbered Heading 2"/>
    <w:basedOn w:val="Normal"/>
    <w:next w:val="Normal"/>
    <w:rsid w:val="00C148DE"/>
    <w:pPr>
      <w:keepNext/>
      <w:numPr>
        <w:ilvl w:val="1"/>
        <w:numId w:val="18"/>
      </w:numPr>
      <w:tabs>
        <w:tab w:val="left" w:pos="907"/>
      </w:tabs>
      <w:spacing w:after="80"/>
      <w:outlineLvl w:val="1"/>
    </w:pPr>
    <w:rPr>
      <w:b/>
      <w:sz w:val="24"/>
    </w:rPr>
  </w:style>
  <w:style w:type="paragraph" w:customStyle="1" w:styleId="GANumberedHeading3">
    <w:name w:val="GA Numbered Heading 3"/>
    <w:basedOn w:val="Normal"/>
    <w:next w:val="Normal"/>
    <w:rsid w:val="00C148DE"/>
    <w:pPr>
      <w:keepNext/>
      <w:numPr>
        <w:ilvl w:val="2"/>
        <w:numId w:val="18"/>
      </w:numPr>
      <w:tabs>
        <w:tab w:val="left" w:pos="1021"/>
      </w:tabs>
      <w:spacing w:after="80"/>
      <w:outlineLvl w:val="2"/>
    </w:pPr>
    <w:rPr>
      <w:b/>
      <w:sz w:val="22"/>
      <w:szCs w:val="22"/>
    </w:rPr>
  </w:style>
  <w:style w:type="paragraph" w:customStyle="1" w:styleId="GANumberedHeading4">
    <w:name w:val="GA Numbered Heading 4"/>
    <w:basedOn w:val="Normal"/>
    <w:next w:val="Normal"/>
    <w:rsid w:val="00C148DE"/>
    <w:pPr>
      <w:keepNext/>
      <w:numPr>
        <w:ilvl w:val="3"/>
        <w:numId w:val="18"/>
      </w:numPr>
      <w:tabs>
        <w:tab w:val="left" w:pos="1247"/>
      </w:tabs>
      <w:spacing w:after="80"/>
      <w:outlineLvl w:val="3"/>
    </w:pPr>
    <w:rPr>
      <w:b/>
      <w:i/>
      <w:sz w:val="22"/>
    </w:rPr>
  </w:style>
  <w:style w:type="paragraph" w:customStyle="1" w:styleId="GANumberedHeading5">
    <w:name w:val="GA Numbered Heading 5"/>
    <w:basedOn w:val="Normal"/>
    <w:next w:val="Normal"/>
    <w:rsid w:val="00C148DE"/>
    <w:pPr>
      <w:keepNext/>
      <w:numPr>
        <w:ilvl w:val="4"/>
        <w:numId w:val="18"/>
      </w:numPr>
      <w:tabs>
        <w:tab w:val="left" w:pos="1418"/>
      </w:tabs>
      <w:spacing w:after="80"/>
      <w:outlineLvl w:val="4"/>
    </w:pPr>
    <w:rPr>
      <w:b/>
      <w:szCs w:val="22"/>
    </w:rPr>
  </w:style>
  <w:style w:type="paragraph" w:customStyle="1" w:styleId="GANumberedHeading6">
    <w:name w:val="GA Numbered Heading 6"/>
    <w:basedOn w:val="Normal"/>
    <w:next w:val="Normal"/>
    <w:rsid w:val="00C148DE"/>
    <w:pPr>
      <w:keepNext/>
      <w:numPr>
        <w:ilvl w:val="5"/>
        <w:numId w:val="18"/>
      </w:numPr>
      <w:tabs>
        <w:tab w:val="left" w:pos="1588"/>
      </w:tabs>
      <w:spacing w:after="80"/>
      <w:outlineLvl w:val="5"/>
    </w:pPr>
    <w:rPr>
      <w:b/>
      <w:i/>
      <w:szCs w:val="22"/>
    </w:rPr>
  </w:style>
  <w:style w:type="paragraph" w:customStyle="1" w:styleId="GAcaption">
    <w:name w:val="GA caption"/>
    <w:basedOn w:val="Caption"/>
    <w:next w:val="Normal"/>
    <w:rsid w:val="007B69C5"/>
    <w:pPr>
      <w:spacing w:before="0" w:after="0" w:line="200" w:lineRule="atLeast"/>
    </w:pPr>
  </w:style>
  <w:style w:type="paragraph" w:styleId="Caption">
    <w:name w:val="caption"/>
    <w:basedOn w:val="Normal"/>
    <w:next w:val="Normal"/>
    <w:qFormat/>
    <w:rsid w:val="0095402B"/>
    <w:pPr>
      <w:spacing w:before="120"/>
    </w:pPr>
    <w:rPr>
      <w:b/>
      <w:bCs/>
      <w:szCs w:val="20"/>
    </w:rPr>
  </w:style>
  <w:style w:type="paragraph" w:customStyle="1" w:styleId="Distribution">
    <w:name w:val="Distribution"/>
    <w:basedOn w:val="Normal"/>
    <w:next w:val="Normal"/>
    <w:rsid w:val="00132C3F"/>
    <w:pPr>
      <w:spacing w:after="0"/>
    </w:pPr>
    <w:rPr>
      <w:b/>
      <w:bCs/>
      <w:szCs w:val="20"/>
    </w:rPr>
  </w:style>
  <w:style w:type="paragraph" w:customStyle="1" w:styleId="Heading1Normal">
    <w:name w:val="Heading 1 Normal"/>
    <w:basedOn w:val="Normal"/>
    <w:next w:val="Normal"/>
    <w:rsid w:val="001047F3"/>
    <w:pPr>
      <w:keepNext/>
      <w:spacing w:after="80"/>
      <w:outlineLvl w:val="0"/>
    </w:pPr>
    <w:rPr>
      <w:b/>
      <w:sz w:val="24"/>
      <w:szCs w:val="22"/>
    </w:rPr>
  </w:style>
  <w:style w:type="paragraph" w:customStyle="1" w:styleId="Heading2Normal">
    <w:name w:val="Heading 2 Normal"/>
    <w:basedOn w:val="Normal"/>
    <w:next w:val="Normal"/>
    <w:rsid w:val="001047F3"/>
    <w:pPr>
      <w:keepNext/>
      <w:spacing w:after="80"/>
      <w:outlineLvl w:val="1"/>
    </w:pPr>
    <w:rPr>
      <w:b/>
      <w:sz w:val="22"/>
      <w:szCs w:val="22"/>
    </w:rPr>
  </w:style>
  <w:style w:type="paragraph" w:customStyle="1" w:styleId="GAFigureCaption">
    <w:name w:val="GA Figure Caption"/>
    <w:basedOn w:val="Normal"/>
    <w:rsid w:val="00F84407"/>
    <w:rPr>
      <w:b/>
    </w:rPr>
  </w:style>
  <w:style w:type="paragraph" w:customStyle="1" w:styleId="CaptionFigures">
    <w:name w:val="Caption Figures"/>
    <w:basedOn w:val="Caption"/>
    <w:next w:val="Normal"/>
    <w:rsid w:val="00F84407"/>
    <w:pPr>
      <w:tabs>
        <w:tab w:val="left" w:pos="851"/>
      </w:tabs>
      <w:spacing w:before="0" w:after="200" w:line="240" w:lineRule="auto"/>
    </w:pPr>
    <w:rPr>
      <w:b w:val="0"/>
      <w:i/>
      <w:color w:val="00755C"/>
      <w:sz w:val="18"/>
      <w:szCs w:val="18"/>
    </w:rPr>
  </w:style>
  <w:style w:type="paragraph" w:customStyle="1" w:styleId="CaptionTables">
    <w:name w:val="Caption Tables"/>
    <w:basedOn w:val="Caption"/>
    <w:next w:val="Normal"/>
    <w:rsid w:val="002B6F2E"/>
    <w:pPr>
      <w:tabs>
        <w:tab w:val="left" w:pos="851"/>
      </w:tabs>
      <w:spacing w:before="0" w:after="0" w:line="240" w:lineRule="auto"/>
    </w:pPr>
    <w:rPr>
      <w:szCs w:val="22"/>
    </w:rPr>
  </w:style>
  <w:style w:type="paragraph" w:styleId="FootnoteText">
    <w:name w:val="footnote text"/>
    <w:basedOn w:val="Normal"/>
    <w:rsid w:val="001047F3"/>
    <w:pPr>
      <w:spacing w:after="80" w:line="240" w:lineRule="auto"/>
    </w:pPr>
    <w:rPr>
      <w:sz w:val="12"/>
      <w:szCs w:val="20"/>
    </w:rPr>
  </w:style>
  <w:style w:type="paragraph" w:styleId="BalloonText">
    <w:name w:val="Balloon Text"/>
    <w:basedOn w:val="Normal"/>
    <w:link w:val="BalloonTextChar"/>
    <w:rsid w:val="006C5C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6C5C53"/>
    <w:rPr>
      <w:rFonts w:ascii="Tahoma" w:hAnsi="Tahoma" w:cs="Tahoma"/>
      <w:sz w:val="16"/>
      <w:szCs w:val="16"/>
      <w:lang w:val="hu-HU" w:eastAsia="en-US"/>
    </w:rPr>
  </w:style>
  <w:style w:type="paragraph" w:customStyle="1" w:styleId="TableHeaderRow">
    <w:name w:val="Table Header Row"/>
    <w:basedOn w:val="Normal"/>
    <w:rsid w:val="00AA30A8"/>
    <w:pPr>
      <w:spacing w:before="80" w:after="80" w:line="240" w:lineRule="auto"/>
    </w:pPr>
    <w:rPr>
      <w:b/>
    </w:rPr>
  </w:style>
  <w:style w:type="character" w:customStyle="1" w:styleId="BulletsChar">
    <w:name w:val="Bullets Char"/>
    <w:basedOn w:val="DefaultParagraphFont"/>
    <w:link w:val="Bullets"/>
    <w:rsid w:val="0061589D"/>
    <w:rPr>
      <w:rFonts w:ascii="Arial" w:hAnsi="Arial"/>
      <w:szCs w:val="24"/>
      <w:lang w:val="en-AU" w:eastAsia="en-US"/>
    </w:rPr>
  </w:style>
  <w:style w:type="character" w:styleId="CommentReference">
    <w:name w:val="annotation reference"/>
    <w:basedOn w:val="DefaultParagraphFont"/>
    <w:rsid w:val="00752E05"/>
    <w:rPr>
      <w:sz w:val="16"/>
      <w:szCs w:val="16"/>
    </w:rPr>
  </w:style>
  <w:style w:type="paragraph" w:styleId="CommentText">
    <w:name w:val="annotation text"/>
    <w:basedOn w:val="Normal"/>
    <w:link w:val="CommentTextChar"/>
    <w:rsid w:val="00752E05"/>
    <w:pPr>
      <w:spacing w:line="240" w:lineRule="auto"/>
    </w:pPr>
    <w:rPr>
      <w:szCs w:val="20"/>
    </w:rPr>
  </w:style>
  <w:style w:type="character" w:customStyle="1" w:styleId="CommentTextChar">
    <w:name w:val="Comment Text Char"/>
    <w:basedOn w:val="DefaultParagraphFont"/>
    <w:link w:val="CommentText"/>
    <w:rsid w:val="00752E05"/>
    <w:rPr>
      <w:rFonts w:ascii="Arial" w:hAnsi="Arial"/>
      <w:lang w:val="en-AU" w:eastAsia="en-US"/>
    </w:rPr>
  </w:style>
  <w:style w:type="paragraph" w:styleId="CommentSubject">
    <w:name w:val="annotation subject"/>
    <w:basedOn w:val="CommentText"/>
    <w:next w:val="CommentText"/>
    <w:link w:val="CommentSubjectChar"/>
    <w:rsid w:val="00752E05"/>
    <w:rPr>
      <w:b/>
      <w:bCs/>
    </w:rPr>
  </w:style>
  <w:style w:type="character" w:customStyle="1" w:styleId="CommentSubjectChar">
    <w:name w:val="Comment Subject Char"/>
    <w:basedOn w:val="CommentTextChar"/>
    <w:link w:val="CommentSubject"/>
    <w:rsid w:val="00752E05"/>
    <w:rPr>
      <w:rFonts w:ascii="Arial" w:hAnsi="Arial"/>
      <w:b/>
      <w:bCs/>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Golder%20Global\2007\W07%20Memo%20AU%20A4.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76C576865689B44B5350B8FFF28BD6C" ma:contentTypeVersion="7" ma:contentTypeDescription="Create a new document." ma:contentTypeScope="" ma:versionID="c946aa21a7e6d19d13aced01dd280775">
  <xsd:schema xmlns:xsd="http://www.w3.org/2001/XMLSchema" xmlns:xs="http://www.w3.org/2001/XMLSchema" xmlns:p="http://schemas.microsoft.com/office/2006/metadata/properties" xmlns:ns1="601a35c9-d6ba-4034-8363-62e5ee06fa97" xmlns:ns3="http://schemas.microsoft.com/sharepoint/v4" targetNamespace="http://schemas.microsoft.com/office/2006/metadata/properties" ma:root="true" ma:fieldsID="b060436a3144c6b5df6a128cbcf0a1c2" ns1:_="" ns3:_="">
    <xsd:import namespace="601a35c9-d6ba-4034-8363-62e5ee06fa97"/>
    <xsd:import namespace="http://schemas.microsoft.com/sharepoint/v4"/>
    <xsd:element name="properties">
      <xsd:complexType>
        <xsd:sequence>
          <xsd:element name="documentManagement">
            <xsd:complexType>
              <xsd:all>
                <xsd:element ref="ns1:Link" minOccurs="0"/>
                <xsd:element ref="ns1:Content_x0020_Description" minOccurs="0"/>
                <xsd:element ref="ns1:Cont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1a35c9-d6ba-4034-8363-62e5ee06fa97" elementFormDefault="qualified">
    <xsd:import namespace="http://schemas.microsoft.com/office/2006/documentManagement/types"/>
    <xsd:import namespace="http://schemas.microsoft.com/office/infopath/2007/PartnerControls"/>
    <xsd:element name="Link" ma:index="0" nillable="true" ma:displayName="Link" ma:description="Link to an existing document"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Content_x0020_Description" ma:index="12" nillable="true" ma:displayName="Content Description" ma:internalName="Content_x0020_Description">
      <xsd:simpleType>
        <xsd:restriction base="dms:Text">
          <xsd:maxLength value="255"/>
        </xsd:restriction>
      </xsd:simpleType>
    </xsd:element>
    <xsd:element name="Content" ma:index="13" nillable="true" ma:displayName="Content" ma:internalName="Conten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Content xmlns="601a35c9-d6ba-4034-8363-62e5ee06fa97" xsi:nil="true"/>
    <Link xmlns="601a35c9-d6ba-4034-8363-62e5ee06fa97">
      <Url xsi:nil="true"/>
      <Description xsi:nil="true"/>
    </Link>
    <Content_x0020_Description xmlns="601a35c9-d6ba-4034-8363-62e5ee06fa97" xsi:nil="true"/>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BA9C7E-D2F1-432C-8959-7A97E53731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1a35c9-d6ba-4034-8363-62e5ee06fa97"/>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734CA6-EEC6-42B0-AFE9-3D875B13EB16}">
  <ds:schemaRefs>
    <ds:schemaRef ds:uri="http://purl.org/dc/terms/"/>
    <ds:schemaRef ds:uri="http://schemas.microsoft.com/sharepoint/v4"/>
    <ds:schemaRef ds:uri="601a35c9-d6ba-4034-8363-62e5ee06fa97"/>
    <ds:schemaRef ds:uri="http://purl.org/dc/elements/1.1/"/>
    <ds:schemaRef ds:uri="http://www.w3.org/XML/1998/namespace"/>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55CC46AD-CA39-4913-B0C5-89717A2F6A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W07 Memo AU A4</Template>
  <TotalTime>3</TotalTime>
  <Pages>4</Pages>
  <Words>1594</Words>
  <Characters>8872</Characters>
  <Application>Microsoft Office Word</Application>
  <DocSecurity>0</DocSecurity>
  <Lines>73</Lines>
  <Paragraphs>20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Type Filename</vt:lpstr>
      <vt:lpstr>Type Filename</vt:lpstr>
    </vt:vector>
  </TitlesOfParts>
  <Company>Golder Associates</Company>
  <LinksUpToDate>false</LinksUpToDate>
  <CharactersWithSpaces>10446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Type Filename</dc:title>
  <dc:creator>rpowlett</dc:creator>
  <cp:lastModifiedBy>Kadonnelly</cp:lastModifiedBy>
  <cp:revision>4</cp:revision>
  <cp:lastPrinted>2012-11-22T03:21:00Z</cp:lastPrinted>
  <dcterms:created xsi:type="dcterms:W3CDTF">2012-11-22T02:32:00Z</dcterms:created>
  <dcterms:modified xsi:type="dcterms:W3CDTF">2012-11-22T03:22:00Z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mo_to">
    <vt:lpwstr/>
  </property>
  <property fmtid="{D5CDD505-2E9C-101B-9397-08002B2CF9AE}" pid="3" name="CC_Memo">
    <vt:lpwstr/>
  </property>
  <property fmtid="{D5CDD505-2E9C-101B-9397-08002B2CF9AE}" pid="4" name="Memo_From">
    <vt:lpwstr/>
  </property>
  <property fmtid="{D5CDD505-2E9C-101B-9397-08002B2CF9AE}" pid="5" name="Memo_Project_no">
    <vt:lpwstr>127613050-006-M-Rev0</vt:lpwstr>
  </property>
  <property fmtid="{D5CDD505-2E9C-101B-9397-08002B2CF9AE}" pid="6" name="TypeOfNumber">
    <vt:lpwstr>Document</vt:lpwstr>
  </property>
  <property fmtid="{D5CDD505-2E9C-101B-9397-08002B2CF9AE}" pid="7" name="Memo_Date">
    <vt:lpwstr>22 November 2012</vt:lpwstr>
  </property>
  <property fmtid="{D5CDD505-2E9C-101B-9397-08002B2CF9AE}" pid="8" name="ToggleDraft">
    <vt:bool>false</vt:bool>
  </property>
  <property fmtid="{D5CDD505-2E9C-101B-9397-08002B2CF9AE}" pid="9" name="strDraftSet">
    <vt:lpwstr>Nothing</vt:lpwstr>
  </property>
  <property fmtid="{D5CDD505-2E9C-101B-9397-08002B2CF9AE}" pid="10" name="ContentTypeId">
    <vt:lpwstr>0x010100B76C576865689B44B5350B8FFF28BD6C</vt:lpwstr>
  </property>
</Properties>
</file>